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UNITED STATES</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180"/>
        <w:jc w:val="center"/>
        <w:rPr>
          <w:rFonts w:ascii="Arial;sans-serif" w:hAnsi="Arial;sans-serif"/>
          <w:b/>
          <w:color w:val="000000"/>
          <w:sz w:val="26"/>
        </w:rPr>
      </w:pPr>
      <w:r>
        <w:rPr>
          <w:rFonts w:ascii="Arial;sans-serif" w:hAnsi="Arial;sans-serif"/>
          <w:b/>
          <w:color w:val="000000"/>
          <w:sz w:val="26"/>
        </w:rPr>
        <w:t>________________</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p>
      <w:pPr>
        <w:pStyle w:val="TextBody"/>
        <w:bidi w:val="0"/>
        <w:spacing w:lineRule="auto" w:line="288" w:before="0" w:after="240"/>
        <w:jc w:val="center"/>
        <w:rPr/>
      </w:pPr>
      <w:r>
        <w:rPr>
          <w:rFonts w:ascii="Arial;sans-serif" w:hAnsi="Arial;sans-serif"/>
          <w:b/>
          <w:color w:val="000000"/>
          <w:sz w:val="26"/>
        </w:rPr>
        <w:t>________________</w:t>
      </w:r>
      <w:r>
        <w:rPr>
          <w:color w:val="000000"/>
        </w:rPr>
        <w:t>  </w:t>
      </w:r>
    </w:p>
    <w:p>
      <w:pPr>
        <w:pStyle w:val="TextBody"/>
        <w:bidi w:val="0"/>
        <w:spacing w:lineRule="auto" w:line="288" w:before="0" w:after="0"/>
        <w:ind w:left="0" w:right="0" w:hanging="630"/>
        <w:jc w:val="left"/>
        <w:rPr/>
      </w:pPr>
      <w:r>
        <w:rPr>
          <w:color w:val="000000"/>
        </w:rPr>
        <w:t>☒    </w:t>
      </w:r>
      <w:r>
        <w:rPr>
          <w:rFonts w:ascii="Arial;sans-serif" w:hAnsi="Arial;sans-serif"/>
          <w:b/>
          <w:color w:val="000000"/>
          <w:sz w:val="20"/>
        </w:rPr>
        <w:t>QUARTERLY REPORT PURSUANT TO SECTION 13 OR 15(d) OF THE SECURITIES EXCHANGE ACT OF 1934.</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w:t>
      </w:r>
    </w:p>
    <w:p>
      <w:pPr>
        <w:pStyle w:val="TextBody"/>
        <w:bidi w:val="0"/>
        <w:spacing w:lineRule="auto" w:line="288" w:before="120" w:after="283"/>
        <w:ind w:left="0" w:right="0" w:hanging="630"/>
        <w:jc w:val="left"/>
        <w:rPr/>
      </w:pPr>
      <w:r>
        <w:rPr>
          <w:color w:val="000000"/>
        </w:rPr>
        <w:t>☐    </w:t>
      </w:r>
      <w:r>
        <w:rPr>
          <w:rFonts w:ascii="Arial;sans-serif" w:hAnsi="Arial;sans-serif"/>
          <w:b/>
          <w:color w:val="000000"/>
          <w:sz w:val="20"/>
        </w:rPr>
        <w:t>TRANSITION REPORT PURSUANT TO SECTION 13 OR 15(d) 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Commission File Number 001-35500 </w:t>
      </w:r>
    </w:p>
    <w:p>
      <w:pPr>
        <w:pStyle w:val="TextBody"/>
        <w:bidi w:val="0"/>
        <w:spacing w:lineRule="auto" w:line="288" w:before="0" w:after="120"/>
        <w:jc w:val="center"/>
        <w:rPr>
          <w:rFonts w:ascii="Arial;sans-serif" w:hAnsi="Arial;sans-serif"/>
          <w:b/>
          <w:color w:val="000000"/>
          <w:sz w:val="26"/>
        </w:rPr>
      </w:pPr>
      <w:r>
        <w:rPr>
          <w:rFonts w:ascii="Arial;sans-serif" w:hAnsi="Arial;sans-serif"/>
          <w:b/>
          <w:color w:val="000000"/>
          <w:sz w:val="26"/>
        </w:rPr>
        <w:t>________________</w:t>
      </w:r>
    </w:p>
    <w:p>
      <w:pPr>
        <w:pStyle w:val="TextBody"/>
        <w:bidi w:val="0"/>
        <w:spacing w:lineRule="auto" w:line="288" w:before="60" w:after="283"/>
        <w:jc w:val="center"/>
        <w:rPr/>
      </w:pPr>
      <w:r>
        <w:rPr>
          <w:rFonts w:ascii="Arial;sans-serif" w:hAnsi="Arial;sans-serif"/>
          <w:b/>
          <w:color w:val="000000"/>
          <w:sz w:val="32"/>
        </w:rPr>
        <w:t>Brookfield Oaktree Holdings, LLC</w:t>
      </w:r>
      <w:r>
        <w:rPr>
          <w:color w:val="000000"/>
        </w:rPr>
        <w:t xml:space="preserve"> </w:t>
      </w:r>
    </w:p>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 xml:space="preserve">(Exact name of registrant as specified in its charter)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_______________________________</w:t>
      </w:r>
    </w:p>
    <w:tbl>
      <w:tblPr>
        <w:tblW w:w="4315"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506"/>
        <w:gridCol w:w="506"/>
        <w:gridCol w:w="727"/>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26-0174894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Number)</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333 South Grand Avenue, 28th Floor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Los Angeles, CA 90071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Telephone: (213) 830-6300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(Address, zip code, and telephone number, including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area code, of registrant’s principal executive offices)</w:t>
      </w:r>
    </w:p>
    <w:p>
      <w:pPr>
        <w:pStyle w:val="TextBody"/>
        <w:bidi w:val="0"/>
        <w:spacing w:lineRule="auto" w:line="288" w:before="0" w:after="120"/>
        <w:jc w:val="center"/>
        <w:rPr>
          <w:rFonts w:ascii="Arial;sans-serif" w:hAnsi="Arial;sans-serif"/>
          <w:b/>
          <w:color w:val="000000"/>
          <w:sz w:val="14"/>
        </w:rPr>
      </w:pPr>
      <w:r>
        <w:rPr>
          <w:rFonts w:ascii="Arial;sans-serif" w:hAnsi="Arial;sans-serif"/>
          <w:b/>
          <w:color w:val="000000"/>
          <w:sz w:val="14"/>
        </w:rPr>
        <w:t>_______________________________</w:t>
      </w:r>
    </w:p>
    <w:p>
      <w:pPr>
        <w:pStyle w:val="TextBody"/>
        <w:bidi w:val="0"/>
        <w:spacing w:lineRule="auto" w:line="288" w:before="120" w:after="283"/>
        <w:ind w:left="0" w:right="0" w:firstLine="3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573" w:type="dxa"/>
        <w:jc w:val="center"/>
        <w:tblInd w:w="0" w:type="dxa"/>
        <w:tblLayout w:type="fixed"/>
        <w:tblCellMar>
          <w:top w:w="28" w:type="dxa"/>
          <w:left w:w="28" w:type="dxa"/>
          <w:bottom w:w="28" w:type="dxa"/>
          <w:right w:w="28" w:type="dxa"/>
        </w:tblCellMar>
      </w:tblPr>
      <w:tblGrid>
        <w:gridCol w:w="846"/>
        <w:gridCol w:w="742"/>
        <w:gridCol w:w="752"/>
        <w:gridCol w:w="524"/>
        <w:gridCol w:w="524"/>
        <w:gridCol w:w="526"/>
        <w:gridCol w:w="1071"/>
        <w:gridCol w:w="1071"/>
        <w:gridCol w:w="1517"/>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6.625% Series A preferred units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OAK-PA</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New York Stock Exchange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6.550% Series B preferred units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OAK-PB</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New York Stock Exchange</w:t>
            </w:r>
          </w:p>
        </w:tc>
      </w:tr>
    </w:tbl>
    <w:p>
      <w:pPr>
        <w:pStyle w:val="TextBody"/>
        <w:bidi w:val="0"/>
        <w:spacing w:before="0" w:after="100"/>
        <w:ind w:left="0" w:right="0" w:firstLine="360"/>
        <w:jc w:val="left"/>
        <w:rPr/>
      </w:pPr>
      <w:r>
        <w:rPr/>
      </w:r>
    </w:p>
    <w:p>
      <w:pPr>
        <w:pStyle w:val="TextBody"/>
        <w:bidi w:val="0"/>
        <w:spacing w:lineRule="auto" w:line="288" w:before="60" w:after="160"/>
        <w:ind w:left="0" w:right="0" w:firstLine="3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60" w:after="100"/>
        <w:ind w:left="0" w:right="0" w:firstLine="3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60" w:after="100"/>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68"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49"/>
        <w:gridCol w:w="649"/>
        <w:gridCol w:w="6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160"/>
        <w:ind w:left="0" w:right="0" w:firstLine="360"/>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w:t>
      </w:r>
      <w:r>
        <w:rPr>
          <w:rFonts w:ascii="Arial;sans-serif" w:hAnsi="Arial;sans-serif"/>
          <w:b w:val="false"/>
          <w:color w:val="000000"/>
          <w:sz w:val="16"/>
        </w:rPr>
        <w:t>No  </w:t>
      </w:r>
      <w:r>
        <w:rPr>
          <w:color w:val="000000"/>
        </w:rPr>
        <w:t xml:space="preserve">☒ </w:t>
      </w:r>
    </w:p>
    <w:p>
      <w:pPr>
        <w:pStyle w:val="TextBody"/>
        <w:bidi w:val="0"/>
        <w:spacing w:lineRule="auto" w:line="288" w:before="100" w:after="100"/>
        <w:ind w:left="0" w:right="0" w:firstLine="360"/>
        <w:jc w:val="left"/>
        <w:rPr>
          <w:rFonts w:ascii="Arial;sans-serif" w:hAnsi="Arial;sans-serif"/>
          <w:b w:val="false"/>
          <w:color w:val="000000"/>
          <w:sz w:val="16"/>
        </w:rPr>
      </w:pPr>
      <w:r>
        <w:rPr>
          <w:rFonts w:ascii="Arial;sans-serif" w:hAnsi="Arial;sans-serif"/>
          <w:b w:val="false"/>
          <w:color w:val="000000"/>
          <w:sz w:val="16"/>
        </w:rPr>
        <w:t>As of August 11, 2026, there were 118,832,320 Class A units and 41,558,979 Class B units of the registrant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75"/>
        <w:gridCol w:w="449"/>
        <w:gridCol w:w="449"/>
        <w:gridCol w:w="2834"/>
        <w:gridCol w:w="2655"/>
        <w:gridCol w:w="2639"/>
        <w:gridCol w:w="176"/>
        <w:gridCol w:w="176"/>
        <w:gridCol w:w="252"/>
      </w:tblGrid>
      <w:tr>
        <w:trPr/>
        <w:tc>
          <w:tcPr>
            <w:tcW w:w="57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96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96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 I – FINANCIAL INFORMATION</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6">
              <w:r>
                <w:rPr>
                  <w:rStyle w:val="InternetLink"/>
                  <w:rFonts w:ascii="Arial;sans-serif" w:hAnsi="Arial;sans-serif"/>
                  <w:b w:val="false"/>
                  <w:color w:val="0000FF"/>
                  <w:sz w:val="20"/>
                  <w:u w:val="single"/>
                </w:rPr>
                <w:t>Item 1.</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6">
              <w:r>
                <w:rPr>
                  <w:rStyle w:val="InternetLink"/>
                  <w:rFonts w:ascii="Arial;sans-serif" w:hAnsi="Arial;sans-serif"/>
                  <w:b w:val="false"/>
                  <w:color w:val="0000FF"/>
                  <w:sz w:val="20"/>
                  <w:u w:val="single"/>
                </w:rPr>
                <w:t>Financial Statements (Unaudited)</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6">
              <w:r>
                <w:rPr>
                  <w:rStyle w:val="InternetLink"/>
                  <w:rFonts w:ascii="Arial;sans-serif" w:hAnsi="Arial;sans-serif"/>
                  <w:b w:val="false"/>
                  <w:color w:val="0000FF"/>
                  <w:sz w:val="20"/>
                  <w:u w:val="single"/>
                </w:rPr>
                <w:t>1</w:t>
              </w:r>
            </w:hyperlink>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9">
              <w:r>
                <w:rPr>
                  <w:rStyle w:val="InternetLink"/>
                  <w:rFonts w:ascii="Arial;sans-serif" w:hAnsi="Arial;sans-serif"/>
                  <w:b w:val="false"/>
                  <w:color w:val="000080"/>
                  <w:sz w:val="20"/>
                  <w:u w:val="single"/>
                </w:rPr>
                <w:t>Condensed Consolidated Statements of Financial Condition as of June 30, 202</w:t>
              </w:r>
            </w:hyperlink>
            <w:hyperlink w:anchor="if7bf9b79bc6f48b7838d165ef54f1aeb_19">
              <w:r>
                <w:rPr>
                  <w:rStyle w:val="InternetLink"/>
                  <w:rFonts w:ascii="Arial;sans-serif" w:hAnsi="Arial;sans-serif"/>
                  <w:b w:val="false"/>
                  <w:color w:val="000080"/>
                  <w:sz w:val="20"/>
                  <w:u w:val="single"/>
                </w:rPr>
                <w:t>6</w:t>
              </w:r>
            </w:hyperlink>
            <w:hyperlink w:anchor="if7bf9b79bc6f48b7838d165ef54f1aeb_19">
              <w:r>
                <w:rPr>
                  <w:rStyle w:val="InternetLink"/>
                  <w:rFonts w:ascii="Arial;sans-serif" w:hAnsi="Arial;sans-serif"/>
                  <w:b w:val="false"/>
                  <w:color w:val="000080"/>
                  <w:sz w:val="20"/>
                  <w:u w:val="single"/>
                </w:rPr>
                <w:t xml:space="preserve"> and December 31, 202</w:t>
              </w:r>
            </w:hyperlink>
            <w:hyperlink w:anchor="if7bf9b79bc6f48b7838d165ef54f1aeb_19">
              <w:r>
                <w:rPr>
                  <w:rStyle w:val="InternetLink"/>
                  <w:rFonts w:ascii="Arial;sans-serif" w:hAnsi="Arial;sans-serif"/>
                  <w:b w:val="false"/>
                  <w:color w:val="000080"/>
                  <w:sz w:val="20"/>
                  <w:u w:val="single"/>
                </w:rPr>
                <w:t>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9">
              <w:r>
                <w:rPr>
                  <w:rStyle w:val="InternetLink"/>
                  <w:rFonts w:ascii="Arial;sans-serif" w:hAnsi="Arial;sans-serif"/>
                  <w:b w:val="false"/>
                  <w:color w:val="0000FF"/>
                  <w:sz w:val="20"/>
                  <w:u w:val="single"/>
                </w:rPr>
                <w:t>1</w:t>
              </w:r>
            </w:hyperlink>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7bf9b79bc6f48b7838d165ef54f1aeb_22">
              <w:r>
                <w:rPr>
                  <w:rStyle w:val="InternetLink"/>
                  <w:rFonts w:ascii="Arial;sans-serif" w:hAnsi="Arial;sans-serif"/>
                  <w:b w:val="false"/>
                  <w:color w:val="000080"/>
                  <w:sz w:val="20"/>
                  <w:u w:val="single"/>
                </w:rPr>
                <w:t>Condensed Consolidated Statements of Operations for the Three and Six Months Ended June 30, 202</w:t>
              </w:r>
            </w:hyperlink>
            <w:hyperlink w:anchor="if7bf9b79bc6f48b7838d165ef54f1aeb_22">
              <w:r>
                <w:rPr>
                  <w:rStyle w:val="InternetLink"/>
                  <w:rFonts w:ascii="Arial;sans-serif" w:hAnsi="Arial;sans-serif"/>
                  <w:b w:val="false"/>
                  <w:color w:val="000080"/>
                  <w:sz w:val="20"/>
                  <w:u w:val="single"/>
                </w:rPr>
                <w:t>6</w:t>
              </w:r>
            </w:hyperlink>
            <w:hyperlink w:anchor="if7bf9b79bc6f48b7838d165ef54f1aeb_22">
              <w:r>
                <w:rPr>
                  <w:rStyle w:val="InternetLink"/>
                  <w:rFonts w:ascii="Arial;sans-serif" w:hAnsi="Arial;sans-serif"/>
                  <w:b w:val="false"/>
                  <w:color w:val="000080"/>
                  <w:sz w:val="20"/>
                  <w:u w:val="single"/>
                </w:rPr>
                <w:t xml:space="preserve"> and 202</w:t>
              </w:r>
            </w:hyperlink>
            <w:hyperlink w:anchor="if7bf9b79bc6f48b7838d165ef54f1aeb_22">
              <w:r>
                <w:rPr>
                  <w:rStyle w:val="InternetLink"/>
                  <w:rFonts w:ascii="Arial;sans-serif" w:hAnsi="Arial;sans-serif"/>
                  <w:b w:val="false"/>
                  <w:color w:val="000080"/>
                  <w:sz w:val="20"/>
                  <w:u w:val="single"/>
                </w:rPr>
                <w:t>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22">
              <w:r>
                <w:rPr>
                  <w:rStyle w:val="InternetLink"/>
                  <w:rFonts w:ascii="Arial;sans-serif" w:hAnsi="Arial;sans-serif"/>
                  <w:b w:val="false"/>
                  <w:color w:val="0000FF"/>
                  <w:sz w:val="20"/>
                  <w:u w:val="single"/>
                </w:rPr>
                <w:t>2</w:t>
              </w:r>
            </w:hyperlink>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8128"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7bf9b79bc6f48b7838d165ef54f1aeb_28">
              <w:r>
                <w:rPr>
                  <w:rStyle w:val="InternetLink"/>
                  <w:rFonts w:ascii="Arial;sans-serif" w:hAnsi="Arial;sans-serif"/>
                  <w:b w:val="false"/>
                  <w:color w:val="000080"/>
                  <w:sz w:val="20"/>
                  <w:u w:val="single"/>
                </w:rPr>
                <w:t>Condensed Consolidated Statements of Cash Flows for the Six Months Ended June 30, 202</w:t>
              </w:r>
            </w:hyperlink>
            <w:hyperlink w:anchor="if7bf9b79bc6f48b7838d165ef54f1aeb_28">
              <w:r>
                <w:rPr>
                  <w:rStyle w:val="InternetLink"/>
                  <w:rFonts w:ascii="Arial;sans-serif" w:hAnsi="Arial;sans-serif"/>
                  <w:b w:val="false"/>
                  <w:color w:val="000080"/>
                  <w:sz w:val="20"/>
                  <w:u w:val="single"/>
                </w:rPr>
                <w:t>6</w:t>
              </w:r>
            </w:hyperlink>
            <w:hyperlink w:anchor="if7bf9b79bc6f48b7838d165ef54f1aeb_28">
              <w:r>
                <w:rPr>
                  <w:rStyle w:val="InternetLink"/>
                  <w:rFonts w:ascii="Arial;sans-serif" w:hAnsi="Arial;sans-serif"/>
                  <w:b w:val="false"/>
                  <w:color w:val="000080"/>
                  <w:sz w:val="20"/>
                  <w:u w:val="single"/>
                </w:rPr>
                <w:t xml:space="preserve"> and 202</w:t>
              </w:r>
            </w:hyperlink>
            <w:hyperlink w:anchor="if7bf9b79bc6f48b7838d165ef54f1aeb_28">
              <w:r>
                <w:rPr>
                  <w:rStyle w:val="InternetLink"/>
                  <w:rFonts w:ascii="Arial;sans-serif" w:hAnsi="Arial;sans-serif"/>
                  <w:b w:val="false"/>
                  <w:color w:val="000080"/>
                  <w:sz w:val="20"/>
                  <w:u w:val="single"/>
                </w:rPr>
                <w:t>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28">
              <w:r>
                <w:rPr>
                  <w:rStyle w:val="InternetLink"/>
                  <w:rFonts w:ascii="Arial;sans-serif" w:hAnsi="Arial;sans-serif"/>
                  <w:b w:val="false"/>
                  <w:color w:val="0000FF"/>
                  <w:sz w:val="20"/>
                  <w:u w:val="single"/>
                </w:rPr>
                <w:t>3</w:t>
              </w:r>
            </w:hyperlink>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7bf9b79bc6f48b7838d165ef54f1aeb_31">
              <w:r>
                <w:rPr>
                  <w:rStyle w:val="InternetLink"/>
                  <w:rFonts w:ascii="Arial;sans-serif" w:hAnsi="Arial;sans-serif"/>
                  <w:b w:val="false"/>
                  <w:color w:val="000080"/>
                  <w:sz w:val="20"/>
                  <w:u w:val="single"/>
                </w:rPr>
                <w:t>Condensed Consolidated Statements of Changes in Unitholders’ Capital for the Three and Six Months Ended June 30, 202</w:t>
              </w:r>
            </w:hyperlink>
            <w:hyperlink w:anchor="if7bf9b79bc6f48b7838d165ef54f1aeb_31">
              <w:r>
                <w:rPr>
                  <w:rStyle w:val="InternetLink"/>
                  <w:rFonts w:ascii="Arial;sans-serif" w:hAnsi="Arial;sans-serif"/>
                  <w:b w:val="false"/>
                  <w:color w:val="000080"/>
                  <w:sz w:val="20"/>
                  <w:u w:val="single"/>
                </w:rPr>
                <w:t>6</w:t>
              </w:r>
            </w:hyperlink>
            <w:hyperlink w:anchor="if7bf9b79bc6f48b7838d165ef54f1aeb_31">
              <w:r>
                <w:rPr>
                  <w:rStyle w:val="InternetLink"/>
                  <w:rFonts w:ascii="Arial;sans-serif" w:hAnsi="Arial;sans-serif"/>
                  <w:b w:val="false"/>
                  <w:color w:val="000080"/>
                  <w:sz w:val="20"/>
                  <w:u w:val="single"/>
                </w:rPr>
                <w:t xml:space="preserve"> and 202</w:t>
              </w:r>
            </w:hyperlink>
            <w:hyperlink w:anchor="if7bf9b79bc6f48b7838d165ef54f1aeb_31">
              <w:r>
                <w:rPr>
                  <w:rStyle w:val="InternetLink"/>
                  <w:rFonts w:ascii="Arial;sans-serif" w:hAnsi="Arial;sans-serif"/>
                  <w:b w:val="false"/>
                  <w:color w:val="000080"/>
                  <w:sz w:val="20"/>
                  <w:u w:val="single"/>
                </w:rPr>
                <w:t>5</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31">
              <w:r>
                <w:rPr>
                  <w:rStyle w:val="InternetLink"/>
                  <w:rFonts w:ascii="Arial;sans-serif" w:hAnsi="Arial;sans-serif"/>
                  <w:b w:val="false"/>
                  <w:color w:val="0000FF"/>
                  <w:sz w:val="20"/>
                  <w:u w:val="single"/>
                </w:rPr>
                <w:t>4</w:t>
              </w:r>
            </w:hyperlink>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34">
              <w:r>
                <w:rPr>
                  <w:rStyle w:val="InternetLink"/>
                  <w:rFonts w:ascii="Arial;sans-serif" w:hAnsi="Arial;sans-serif"/>
                  <w:b w:val="false"/>
                  <w:color w:val="0000FF"/>
                  <w:sz w:val="20"/>
                  <w:u w:val="single"/>
                </w:rPr>
                <w:t>Notes to Condensed Consolidated Financial Statements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34">
              <w:r>
                <w:rPr>
                  <w:rStyle w:val="InternetLink"/>
                  <w:rFonts w:ascii="Arial;sans-serif" w:hAnsi="Arial;sans-serif"/>
                  <w:b w:val="false"/>
                  <w:color w:val="0000FF"/>
                  <w:sz w:val="20"/>
                  <w:u w:val="single"/>
                </w:rPr>
                <w:t>6</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88">
              <w:r>
                <w:rPr>
                  <w:rStyle w:val="InternetLink"/>
                  <w:rFonts w:ascii="Arial;sans-serif" w:hAnsi="Arial;sans-serif"/>
                  <w:b w:val="false"/>
                  <w:color w:val="0000FF"/>
                  <w:sz w:val="20"/>
                  <w:u w:val="single"/>
                </w:rPr>
                <w:t>Item 2.</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88">
              <w:r>
                <w:rPr>
                  <w:rStyle w:val="InternetLink"/>
                  <w:rFonts w:ascii="Arial;sans-serif" w:hAnsi="Arial;sans-serif"/>
                  <w:b w:val="false"/>
                  <w:color w:val="0000FF"/>
                  <w:sz w:val="20"/>
                  <w:u w:val="single"/>
                </w:rPr>
                <w:t>Management’s Discussion and Analysis of Financial Condition and Results of Operations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88">
              <w:r>
                <w:rPr>
                  <w:rStyle w:val="InternetLink"/>
                  <w:rFonts w:ascii="Arial;sans-serif" w:hAnsi="Arial;sans-serif"/>
                  <w:b w:val="false"/>
                  <w:color w:val="0000FF"/>
                  <w:sz w:val="20"/>
                  <w:u w:val="single"/>
                </w:rPr>
                <w:t>38</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1">
              <w:r>
                <w:rPr>
                  <w:rStyle w:val="InternetLink"/>
                  <w:rFonts w:ascii="Arial;sans-serif" w:hAnsi="Arial;sans-serif"/>
                  <w:b w:val="false"/>
                  <w:color w:val="0000FF"/>
                  <w:sz w:val="20"/>
                  <w:u w:val="single"/>
                </w:rPr>
                <w:t>Item 3.</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1">
              <w:r>
                <w:rPr>
                  <w:rStyle w:val="InternetLink"/>
                  <w:rFonts w:ascii="Arial;sans-serif" w:hAnsi="Arial;sans-serif"/>
                  <w:b w:val="false"/>
                  <w:color w:val="0000FF"/>
                  <w:sz w:val="20"/>
                  <w:u w:val="single"/>
                </w:rPr>
                <w:t>Quantitative and Qualitative Disclosures about Market Risk</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1">
              <w:r>
                <w:rPr>
                  <w:rStyle w:val="InternetLink"/>
                  <w:rFonts w:ascii="Arial;sans-serif" w:hAnsi="Arial;sans-serif"/>
                  <w:b w:val="false"/>
                  <w:color w:val="0000FF"/>
                  <w:sz w:val="20"/>
                  <w:u w:val="single"/>
                </w:rPr>
                <w:t>51</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4">
              <w:r>
                <w:rPr>
                  <w:rStyle w:val="InternetLink"/>
                  <w:rFonts w:ascii="Arial;sans-serif" w:hAnsi="Arial;sans-serif"/>
                  <w:b w:val="false"/>
                  <w:color w:val="0000FF"/>
                  <w:sz w:val="20"/>
                  <w:u w:val="single"/>
                </w:rPr>
                <w:t>Item 4.</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4">
              <w:r>
                <w:rPr>
                  <w:rStyle w:val="InternetLink"/>
                  <w:rFonts w:ascii="Arial;sans-serif" w:hAnsi="Arial;sans-serif"/>
                  <w:b w:val="false"/>
                  <w:color w:val="0000FF"/>
                  <w:sz w:val="20"/>
                  <w:u w:val="single"/>
                </w:rPr>
                <w:t>Controls and Procedures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4">
              <w:r>
                <w:rPr>
                  <w:rStyle w:val="InternetLink"/>
                  <w:rFonts w:ascii="Arial;sans-serif" w:hAnsi="Arial;sans-serif"/>
                  <w:b w:val="false"/>
                  <w:color w:val="0000FF"/>
                  <w:sz w:val="20"/>
                  <w:u w:val="single"/>
                </w:rPr>
                <w:t>52</w:t>
              </w:r>
            </w:hyperlink>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97">
              <w:r>
                <w:rPr>
                  <w:rStyle w:val="InternetLink"/>
                  <w:rFonts w:ascii="Arial;sans-serif" w:hAnsi="Arial;sans-serif"/>
                  <w:b w:val="false"/>
                  <w:strike w:val="false"/>
                  <w:dstrike w:val="false"/>
                  <w:color w:val="0000FF"/>
                  <w:sz w:val="20"/>
                  <w:u w:val="none"/>
                  <w:effect w:val="none"/>
                </w:rPr>
                <w:t>PART II – OTHER INFORMATION</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0">
              <w:r>
                <w:rPr>
                  <w:rStyle w:val="InternetLink"/>
                  <w:rFonts w:ascii="Arial;sans-serif" w:hAnsi="Arial;sans-serif"/>
                  <w:b w:val="false"/>
                  <w:color w:val="0000FF"/>
                  <w:sz w:val="20"/>
                  <w:u w:val="single"/>
                </w:rPr>
                <w:t>Item 1.</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0">
              <w:r>
                <w:rPr>
                  <w:rStyle w:val="InternetLink"/>
                  <w:rFonts w:ascii="Arial;sans-serif" w:hAnsi="Arial;sans-serif"/>
                  <w:b w:val="false"/>
                  <w:color w:val="0000FF"/>
                  <w:sz w:val="20"/>
                  <w:u w:val="single"/>
                </w:rPr>
                <w:t>Legal Proceedings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0">
              <w:r>
                <w:rPr>
                  <w:rStyle w:val="InternetLink"/>
                  <w:rFonts w:ascii="Arial;sans-serif" w:hAnsi="Arial;sans-serif"/>
                  <w:b w:val="false"/>
                  <w:color w:val="0000FF"/>
                  <w:sz w:val="20"/>
                  <w:u w:val="single"/>
                </w:rPr>
                <w:t>53</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3">
              <w:r>
                <w:rPr>
                  <w:rStyle w:val="InternetLink"/>
                  <w:rFonts w:ascii="Arial;sans-serif" w:hAnsi="Arial;sans-serif"/>
                  <w:b w:val="false"/>
                  <w:color w:val="0000FF"/>
                  <w:sz w:val="20"/>
                  <w:u w:val="single"/>
                </w:rPr>
                <w:t>Item 1A.</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3">
              <w:r>
                <w:rPr>
                  <w:rStyle w:val="InternetLink"/>
                  <w:rFonts w:ascii="Arial;sans-serif" w:hAnsi="Arial;sans-serif"/>
                  <w:b w:val="false"/>
                  <w:color w:val="0000FF"/>
                  <w:sz w:val="20"/>
                  <w:u w:val="single"/>
                </w:rPr>
                <w:t>Risk Factors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3">
              <w:r>
                <w:rPr>
                  <w:rStyle w:val="InternetLink"/>
                  <w:rFonts w:ascii="Arial;sans-serif" w:hAnsi="Arial;sans-serif"/>
                  <w:b w:val="false"/>
                  <w:color w:val="0000FF"/>
                  <w:sz w:val="20"/>
                  <w:u w:val="single"/>
                </w:rPr>
                <w:t>53</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6">
              <w:r>
                <w:rPr>
                  <w:rStyle w:val="InternetLink"/>
                  <w:rFonts w:ascii="Arial;sans-serif" w:hAnsi="Arial;sans-serif"/>
                  <w:b w:val="false"/>
                  <w:color w:val="0000FF"/>
                  <w:sz w:val="20"/>
                  <w:u w:val="single"/>
                </w:rPr>
                <w:t>Item 2.</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6">
              <w:r>
                <w:rPr>
                  <w:rStyle w:val="InternetLink"/>
                  <w:rFonts w:ascii="Arial;sans-serif" w:hAnsi="Arial;sans-serif"/>
                  <w:b w:val="false"/>
                  <w:color w:val="0000FF"/>
                  <w:sz w:val="20"/>
                  <w:u w:val="single"/>
                </w:rPr>
                <w:t>Unregistered Sales of Equity Securities and Use of Proceeds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6">
              <w:r>
                <w:rPr>
                  <w:rStyle w:val="InternetLink"/>
                  <w:rFonts w:ascii="Arial;sans-serif" w:hAnsi="Arial;sans-serif"/>
                  <w:b w:val="false"/>
                  <w:color w:val="0000FF"/>
                  <w:sz w:val="20"/>
                  <w:u w:val="single"/>
                </w:rPr>
                <w:t>53</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9">
              <w:r>
                <w:rPr>
                  <w:rStyle w:val="InternetLink"/>
                  <w:rFonts w:ascii="Arial;sans-serif" w:hAnsi="Arial;sans-serif"/>
                  <w:b w:val="false"/>
                  <w:color w:val="0000FF"/>
                  <w:sz w:val="20"/>
                  <w:u w:val="single"/>
                </w:rPr>
                <w:t>Item 3.</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9">
              <w:r>
                <w:rPr>
                  <w:rStyle w:val="InternetLink"/>
                  <w:rFonts w:ascii="Arial;sans-serif" w:hAnsi="Arial;sans-serif"/>
                  <w:b w:val="false"/>
                  <w:color w:val="0000FF"/>
                  <w:sz w:val="20"/>
                  <w:u w:val="single"/>
                </w:rPr>
                <w:t>Defaults Upon Senior Securities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09">
              <w:r>
                <w:rPr>
                  <w:rStyle w:val="InternetLink"/>
                  <w:rFonts w:ascii="Arial;sans-serif" w:hAnsi="Arial;sans-serif"/>
                  <w:b w:val="false"/>
                  <w:color w:val="0000FF"/>
                  <w:sz w:val="20"/>
                  <w:u w:val="single"/>
                </w:rPr>
                <w:t>53</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2">
              <w:r>
                <w:rPr>
                  <w:rStyle w:val="InternetLink"/>
                  <w:rFonts w:ascii="Arial;sans-serif" w:hAnsi="Arial;sans-serif"/>
                  <w:b w:val="false"/>
                  <w:color w:val="0000FF"/>
                  <w:sz w:val="20"/>
                  <w:u w:val="single"/>
                </w:rPr>
                <w:t>Item 4.</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2">
              <w:r>
                <w:rPr>
                  <w:rStyle w:val="InternetLink"/>
                  <w:rFonts w:ascii="Arial;sans-serif" w:hAnsi="Arial;sans-serif"/>
                  <w:b w:val="false"/>
                  <w:color w:val="0000FF"/>
                  <w:sz w:val="20"/>
                  <w:u w:val="single"/>
                </w:rPr>
                <w:t>Mine Safety Disclosures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2">
              <w:r>
                <w:rPr>
                  <w:rStyle w:val="InternetLink"/>
                  <w:rFonts w:ascii="Arial;sans-serif" w:hAnsi="Arial;sans-serif"/>
                  <w:b w:val="false"/>
                  <w:color w:val="0000FF"/>
                  <w:sz w:val="20"/>
                  <w:u w:val="single"/>
                </w:rPr>
                <w:t>53</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5">
              <w:r>
                <w:rPr>
                  <w:rStyle w:val="InternetLink"/>
                  <w:rFonts w:ascii="Arial;sans-serif" w:hAnsi="Arial;sans-serif"/>
                  <w:b w:val="false"/>
                  <w:color w:val="0000FF"/>
                  <w:sz w:val="20"/>
                  <w:u w:val="single"/>
                </w:rPr>
                <w:t>Item 5.</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5">
              <w:r>
                <w:rPr>
                  <w:rStyle w:val="InternetLink"/>
                  <w:rFonts w:ascii="Arial;sans-serif" w:hAnsi="Arial;sans-serif"/>
                  <w:b w:val="false"/>
                  <w:color w:val="0000FF"/>
                  <w:sz w:val="20"/>
                  <w:u w:val="single"/>
                </w:rPr>
                <w:t>Other Information</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5">
              <w:r>
                <w:rPr>
                  <w:rStyle w:val="InternetLink"/>
                  <w:rFonts w:ascii="Arial;sans-serif" w:hAnsi="Arial;sans-serif"/>
                  <w:b w:val="false"/>
                  <w:color w:val="0000FF"/>
                  <w:sz w:val="20"/>
                  <w:u w:val="single"/>
                </w:rPr>
                <w:t>53</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8">
              <w:r>
                <w:rPr>
                  <w:rStyle w:val="InternetLink"/>
                  <w:rFonts w:ascii="Arial;sans-serif" w:hAnsi="Arial;sans-serif"/>
                  <w:b w:val="false"/>
                  <w:color w:val="0000FF"/>
                  <w:sz w:val="20"/>
                  <w:u w:val="single"/>
                </w:rPr>
                <w:t>Item 6.</w:t>
              </w:r>
            </w:hyperlink>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8">
              <w:r>
                <w:rPr>
                  <w:rStyle w:val="InternetLink"/>
                  <w:rFonts w:ascii="Arial;sans-serif" w:hAnsi="Arial;sans-serif"/>
                  <w:b w:val="false"/>
                  <w:color w:val="0000FF"/>
                  <w:sz w:val="20"/>
                  <w:u w:val="single"/>
                </w:rPr>
                <w:t>Exhibits</w:t>
              </w:r>
            </w:hyperlink>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18">
              <w:r>
                <w:rPr>
                  <w:rStyle w:val="InternetLink"/>
                  <w:rFonts w:ascii="Arial;sans-serif" w:hAnsi="Arial;sans-serif"/>
                  <w:b w:val="false"/>
                  <w:color w:val="0000FF"/>
                  <w:sz w:val="20"/>
                  <w:u w:val="single"/>
                </w:rPr>
                <w:t>54</w:t>
              </w:r>
            </w:hyperlink>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bf9b79bc6f48b7838d165ef54f1aeb_121">
              <w:r>
                <w:rPr>
                  <w:rStyle w:val="InternetLink"/>
                  <w:rFonts w:ascii="Arial;sans-serif" w:hAnsi="Arial;sans-serif"/>
                  <w:b w:val="false"/>
                  <w:color w:val="0000FF"/>
                  <w:sz w:val="20"/>
                  <w:u w:val="single"/>
                </w:rPr>
                <w:t>Signature</w:t>
              </w:r>
            </w:hyperlink>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contains forward-looking statements within the meaning of Section 27A of the U.S. Securities Act of 1933, as amended (the “Securities Act”), and Section 21E of the U.S. Securities Exchange Act of 1934, as amended (the “Exchange Act”), which reflect our current views with respect to, among other things, our future results of operations and financial performance. In some cases, you can identify forward-looking statements by words such as “anticipate,” “approximately,” “believe,” “continue,” “could,” “estimate,” “expect,” “intend,” “may,” “outlook,” “plan,” “potential,” “predict,” “seek,” “should,” “will” and “would” or the negative version of these words or other comparable or similar words. These statements identify prospective information. Important factors could cause actual results to differ, possibly materially, from those indicated in these statements. 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to factors previously disclosed in Brookfield Oaktree Holdings, LLC’s (“BOH”) reports filed with securities regulators in the United States and those identified elsewhere in this quarterly report, the following factors, among others, could cause actual results to differ materially from forward-looking statements and information or historical performance: the ability of BOH to retain and hire key service providers; the continued availability of capital and financing; the business, economic and political conditions in the markets in which BOH operates; changes in BOH’s anticipated revenue and income, which are inherently volatile; changes in the value of BOH’s investments; the pace of Oaktree’s raising of new funds; changes in assets under management; the timing and receipt of, and impact of taxes on, carried interest; distributions from and liquidation of Oaktree’s existing funds; the amount and timing of distributions on BOH’s preferred units; changes in BOH’s operating or other expenses; the degree to which BOH encounters competition; and general political, economic and market conditions.</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Any forward-looking statements and information speak only as of the date of this quarterly report or as of the date they were made, and except as required by law, BOH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BOH’s most recent report on Form 10-K for the year ended December 31, 2025 filed with the Securities and Exchange Commission (“SEC”) (our “annual report”), and in this quarterly report, and in each case any material updates to these factors contained in any of BOH’s future filings.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and its contents do not constitute and should not be construed as (a) a recommendation to buy, (b) an offer to buy or solicitation of an offer to buy, (c) an offer to sell or (d) advice in relation to, any securities of BOH or securities of any Oaktree investment fund.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this quarterly report, unless the context otherwise requires: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Oaktree” refers to (i) Brookfield Oaktree Holdings, LLC and, where applicable, its subsidiaries and affiliates prior to October 1, 2019 and (ii) the Oaktree Operating Group and, where applicable, their respective subsidiaries and affiliates after September 30, 2019.</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 xml:space="preserve">BOH,” “Company,” “we,” “us,” “our” or “our company” refers to Brookfield Oaktree Holdings, LLC and, where applicable, its subsidiaries and affiliates, including, as the context requires, affiliated Oaktree Operating Group members after September 30, 2019. </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 xml:space="preserve">OCM” refers to Oaktree Capital Management, L.P. and, where applicable, its subsidiaries and affiliates. OCM is one of the Oaktree Operating Group entities but not one of our subsidiaries. OCM acts as the U.S. registered investment adviser to most of the Oaktree funds. </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Oaktree Operating Group,” or “Operating Group,” refers collectively to the entities that either (i) act as or control the general partners and investment advisers of the Oaktree funds or (ii) hold interests in other entities or investments generating income for the business of Oaktree.</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OCGH” refers to Oaktree Capital Group Holdings, L.P., a Delaware limited partnership, which holds an interest in the Oaktree Operating Group and all of our Class B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OCGH unitholders” refers collectively to Oaktree’s senior executives, current and former Oaktree employees and their respective transferees who hold interests in the Oaktree Operating Group through OCGH.</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OEP” refers to Oaktree Equity Plan, L.P., a Delaware limited partnership, which holds an interest in the Oaktree Operating Group.</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OEP II” refers to Oaktree Equity Plan II, L.P., a Delaware limited partnership, which holds an interest in the Oaktree Operating Group.</w:t>
      </w:r>
    </w:p>
    <w:p>
      <w:pPr>
        <w:pStyle w:val="TextBody"/>
        <w:bidi w:val="0"/>
        <w:spacing w:lineRule="auto" w:line="268" w:before="180" w:after="283"/>
        <w:ind w:left="0" w:right="0" w:firstLine="720"/>
        <w:jc w:val="left"/>
        <w:rPr/>
      </w:pPr>
      <w:r>
        <w:rPr>
          <w:color w:val="000000"/>
        </w:rPr>
        <w:t>“</w:t>
      </w:r>
      <w:r>
        <w:rPr>
          <w:rFonts w:ascii="Arial;sans-serif" w:hAnsi="Arial;sans-serif"/>
          <w:b w:val="false"/>
          <w:color w:val="000000"/>
          <w:sz w:val="20"/>
        </w:rPr>
        <w:t>assets under management,” or “AUM,” generally refers to the sum of (i) the</w:t>
      </w:r>
      <w:r>
        <w:rPr>
          <w:color w:val="008080"/>
        </w:rPr>
        <w:t xml:space="preserve"> </w:t>
      </w:r>
      <w:r>
        <w:rPr>
          <w:rFonts w:ascii="Arial;sans-serif" w:hAnsi="Arial;sans-serif"/>
          <w:b w:val="false"/>
          <w:color w:val="000000"/>
          <w:sz w:val="20"/>
        </w:rPr>
        <w:t>assets Oaktree manages and equals the NAV (as defined below) of the assets Oaktree manages, (ii) the leverage on which management fees are charged, (iii) the undrawn capital that Oaktree is entitled to call from investors in the funds pursuant to their capital commitments, (iv) investment proceeds held in trust for use in investment activities, (v) Oaktree’s pro rata portion of AUM managed by its equity method investments such as DoubleLine Capital LP and its affiliates (“DoubleLine”) and Duration Capital LP and its affiliates, in which Oaktree holds minority ownership interests, and (vi) 100% of the AUM managed by 17Capital LLP and its affiliates in which Oaktree acquired a majority ownership interest in 2022. For Oaktree’s collateralized loan obligation vehicles, AUM represents the aggregate par value of collateral assets and principal cash; for Oaktree’s business development companies,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below may not be directly comparable to the AUM metrics of other investment managers.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Class A units” refer to the common units of BOH designated as Class A units.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CLOs” refer to collateralized loan obligation vehicles.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common units” or “common unitholders” refer to the Class A common units of BOH or Class A common unitholders, respectively, unless otherwise specified.</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consolidated funds” refers to the funds that we are required to consolidate as of the applicable reporting date.</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funds” refers to investment funds and, where applicable, CLOs and separate accounts that are managed by Oaktree or its subsidiaries.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net asset value,” or “NAV,” refers to the value of all the assets of a fund (including cash and accrued interest and dividends) less all liabilities of the fund (including accrued expenses and any reserves established by the general partner or investment manager of such fund in their discretion, for contingent liabilities) without reduction for accrued incentives because they are reflected in the partners’ capital of the fund.</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preferred units” or “preferred unitholders” refers to the Series A and Series B preferred units of BOH or Series A and Series B preferred unitholders, respectively, unless otherwise specified.</w:t>
      </w:r>
    </w:p>
    <w:p>
      <w:pPr>
        <w:pStyle w:val="TextBody"/>
        <w:bidi w:val="0"/>
        <w:spacing w:before="18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Brookfield Oaktree Holdings, LLC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Financial Condition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in thousands)</w:t>
      </w:r>
    </w:p>
    <w:tbl>
      <w:tblPr>
        <w:tblW w:w="10205" w:type="dxa"/>
        <w:jc w:val="center"/>
        <w:tblInd w:w="0" w:type="dxa"/>
        <w:tblLayout w:type="fixed"/>
        <w:tblCellMar>
          <w:top w:w="28" w:type="dxa"/>
          <w:left w:w="28" w:type="dxa"/>
          <w:bottom w:w="28" w:type="dxa"/>
          <w:right w:w="28" w:type="dxa"/>
        </w:tblCellMar>
      </w:tblPr>
      <w:tblGrid>
        <w:gridCol w:w="2667"/>
        <w:gridCol w:w="2345"/>
        <w:gridCol w:w="2382"/>
        <w:gridCol w:w="196"/>
        <w:gridCol w:w="871"/>
        <w:gridCol w:w="109"/>
        <w:gridCol w:w="109"/>
        <w:gridCol w:w="109"/>
        <w:gridCol w:w="109"/>
        <w:gridCol w:w="209"/>
        <w:gridCol w:w="932"/>
        <w:gridCol w:w="167"/>
      </w:tblGrid>
      <w:tr>
        <w:trPr/>
        <w:tc>
          <w:tcPr>
            <w:tcW w:w="266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and cash-equivalents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investments (includes $0 and $310,956 measured at fair value as of June 30, 2026</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1,430,773 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Due from affiliates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assets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Assets of consolidated funds: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183,974 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at fair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5,012,977 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Dividends and interest receivable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Receivable for securities sold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 at fair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7,070,997 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6,800,312 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Unitholders’ Capital</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compensation expense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payable, accrued expenses and other liabilities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Liabilities of consolidated funds: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Payables for securities purchased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79,845 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 at fair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Distributions payable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Debt obligations of the consolidated funds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1,320,795 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liabilities </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1,708,042 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1,464,479 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13)</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redeemable interests in consolidated funds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3,071,611 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Unitholders’ capital:</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Series A preferred units, 7,200,000 units issued and outstanding as of June 30, 2026 and December 31, 2025</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173,669 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Series B preferred units, 9,400,000 units issued and outstanding as of June 30, 2026 and December 31, 2025</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226,915 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Class A units, no par value, unlimited units authorized, </w:t>
            </w:r>
            <w:r>
              <w:rPr>
                <w:rFonts w:ascii="Arial;sans-serif" w:hAnsi="Arial;sans-serif"/>
                <w:b w:val="false"/>
                <w:color w:val="000000"/>
                <w:sz w:val="16"/>
                <w:shd w:fill="FFFFFF" w:val="clear"/>
              </w:rPr>
              <w:t>118,832,320</w:t>
            </w:r>
            <w:r>
              <w:rPr>
                <w:color w:val="000000"/>
              </w:rPr>
              <w:t xml:space="preserve"> </w:t>
            </w:r>
            <w:r>
              <w:rPr>
                <w:rFonts w:ascii="Arial;sans-serif" w:hAnsi="Arial;sans-serif"/>
                <w:b w:val="false"/>
                <w:color w:val="000000"/>
                <w:sz w:val="16"/>
              </w:rPr>
              <w:t>and 118,832,320 units issued and outstanding as of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Class B units, no par value, unlimited units authorized, 41,558,979 and 41,758,979 units issued and outstanding as of June 30, 2026 and December 31, 2025, respectively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Paid-in capital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1,777,821 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(accumulated deficit)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76,425 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Unitholders’ capital attributable to Brookfield Oaktree Holdings, LLC</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2,050,239 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2,254,830 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 in consolidated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unitholders’ capital</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2,264,222 </w:t>
            </w:r>
          </w:p>
        </w:tc>
        <w:tc>
          <w:tcPr>
            <w:tcW w:w="16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unitholders’ capital</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7,070,997 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6,800,312 </w:t>
            </w:r>
          </w:p>
        </w:tc>
        <w:tc>
          <w:tcPr>
            <w:tcW w:w="1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unit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64"/>
        <w:gridCol w:w="1132"/>
        <w:gridCol w:w="113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Compensation and benefits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fund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expenses </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(104,330)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on consolidated funds’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Net change in unrealized appreciation (depreciation) on consolidated funds’ investments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(loss)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(65,207)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non-controlling interests in consolidated funds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non-controlling interests in consolidated subsidiaries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Brookfield Oaktree Holdings, LLC</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preferred unitholders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Brookfield Oaktree Holdings, LLC Class A unitholders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declared per Class A unit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Class A unit (basic and diluted):</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per Class A unit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Weighted average number of Class A units outstanding </w:t>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9829" w:type="dxa"/>
        <w:jc w:val="center"/>
        <w:tblInd w:w="0" w:type="dxa"/>
        <w:tblLayout w:type="fixed"/>
        <w:tblCellMar>
          <w:top w:w="28" w:type="dxa"/>
          <w:left w:w="28" w:type="dxa"/>
          <w:bottom w:w="28" w:type="dxa"/>
          <w:right w:w="28" w:type="dxa"/>
        </w:tblCellMar>
      </w:tblPr>
      <w:tblGrid>
        <w:gridCol w:w="2584"/>
        <w:gridCol w:w="2274"/>
        <w:gridCol w:w="2281"/>
        <w:gridCol w:w="213"/>
        <w:gridCol w:w="837"/>
        <w:gridCol w:w="109"/>
        <w:gridCol w:w="109"/>
        <w:gridCol w:w="109"/>
        <w:gridCol w:w="109"/>
        <w:gridCol w:w="213"/>
        <w:gridCol w:w="837"/>
        <w:gridCol w:w="154"/>
      </w:tblGrid>
      <w:tr>
        <w:trPr/>
        <w:tc>
          <w:tcPr>
            <w:tcW w:w="258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(used) provided in operating activities: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realized and unrealized (gain) loss from consolidated funds’ investments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65,207 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of original issue and market discount of consolidated funds’ investments, net</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distributions from corporate investments in funds and companies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due to changes in operating assets and liabilities: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Increase in other assets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Increase in net due from affiliates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accrued compensation expense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Increase (decrease) in accounts payable, accrued expenses and other liabilities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i/>
                <w:color w:val="000000"/>
                <w:sz w:val="18"/>
              </w:rPr>
            </w:pPr>
            <w:r>
              <w:rPr>
                <w:rFonts w:ascii="Arial;sans-serif" w:hAnsi="Arial;sans-serif"/>
                <w:b w:val="false"/>
                <w:i/>
                <w:color w:val="000000"/>
                <w:sz w:val="18"/>
              </w:rPr>
              <w:t>Cash flows due to changes in operating assets and liabilities of consolidated funds: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dividends and interest receivable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receivables for investments sold</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other assets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Decrease in accounts payable, accrued expenses and other liabilities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Increase (decrease) in payables for investments purchased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Purchases of investments </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(1,398,785)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(1,123,784)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and sales of investments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(164,539)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540,008 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and proceeds from corporate investments in funds and companies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Class A unitholders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(341,382)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preferred unitholders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(13,658)</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Cash flows from financing activities of consolidated funds: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credit facilities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credit facilities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(1,020,285)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(751,448)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cash-equivalents</w:t>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(161,666)</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beginning balance</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449,851 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ending balance</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288,185 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Supplemental disclosure of non-cash investing and financing activities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of equity interest in OCG NTR Holdings, LLC</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Reconciliation of cash and cash-equivalents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 Oaktree</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 consolidated funds</w:t>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cash-equivalents</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255,457 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288,185 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Unitholders’ Capital (Unaudited)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(in thousands)</w:t>
      </w:r>
    </w:p>
    <w:tbl>
      <w:tblPr>
        <w:tblW w:w="12028" w:type="dxa"/>
        <w:jc w:val="center"/>
        <w:tblInd w:w="0" w:type="dxa"/>
        <w:tblLayout w:type="fixed"/>
        <w:tblCellMar>
          <w:top w:w="28" w:type="dxa"/>
          <w:left w:w="28" w:type="dxa"/>
          <w:bottom w:w="28" w:type="dxa"/>
          <w:right w:w="28" w:type="dxa"/>
        </w:tblCellMar>
      </w:tblPr>
      <w:tblGrid>
        <w:gridCol w:w="439"/>
        <w:gridCol w:w="268"/>
        <w:gridCol w:w="269"/>
        <w:gridCol w:w="323"/>
        <w:gridCol w:w="323"/>
        <w:gridCol w:w="136"/>
        <w:gridCol w:w="109"/>
        <w:gridCol w:w="109"/>
        <w:gridCol w:w="109"/>
        <w:gridCol w:w="285"/>
        <w:gridCol w:w="286"/>
        <w:gridCol w:w="136"/>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646"/>
        <w:gridCol w:w="109"/>
        <w:gridCol w:w="109"/>
        <w:gridCol w:w="109"/>
        <w:gridCol w:w="109"/>
        <w:gridCol w:w="253"/>
        <w:gridCol w:w="569"/>
        <w:gridCol w:w="154"/>
        <w:gridCol w:w="109"/>
        <w:gridCol w:w="109"/>
        <w:gridCol w:w="109"/>
        <w:gridCol w:w="231"/>
        <w:gridCol w:w="634"/>
        <w:gridCol w:w="141"/>
        <w:gridCol w:w="109"/>
        <w:gridCol w:w="109"/>
        <w:gridCol w:w="109"/>
        <w:gridCol w:w="181"/>
        <w:gridCol w:w="76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Brookfield Oaktree Holdings,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 in Consolidated Subsidiaries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Unitholders’ Capital</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March 31, 2026</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41,559 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1,835,071 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2,350,323 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Activity for the three months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Distributions declared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(317,356)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(361,319)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June 30, 2026</w:t>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41,559 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1,532,795 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9,609 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2,059,848 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Brookfield Oaktree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 in Consolidated Subsidiaries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Unitholders’ Capital</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December 31, 2025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41,759 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1,777,821 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9,392 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2,264,222 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Activity for the six months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Cancellation of units associated with forfeitures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Distributions declared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(317,356)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(372,048)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June 30, 2026</w:t>
            </w:r>
          </w:p>
        </w:tc>
        <w:tc>
          <w:tcPr>
            <w:tcW w:w="6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41,559 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1,532,795 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116,860 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9,609 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2,059,848 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Unitholders’ Capital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12028" w:type="dxa"/>
        <w:jc w:val="center"/>
        <w:tblInd w:w="0" w:type="dxa"/>
        <w:tblLayout w:type="fixed"/>
        <w:tblCellMar>
          <w:top w:w="28" w:type="dxa"/>
          <w:left w:w="28" w:type="dxa"/>
          <w:bottom w:w="28" w:type="dxa"/>
          <w:right w:w="28" w:type="dxa"/>
        </w:tblCellMar>
      </w:tblPr>
      <w:tblGrid>
        <w:gridCol w:w="439"/>
        <w:gridCol w:w="268"/>
        <w:gridCol w:w="269"/>
        <w:gridCol w:w="323"/>
        <w:gridCol w:w="323"/>
        <w:gridCol w:w="136"/>
        <w:gridCol w:w="109"/>
        <w:gridCol w:w="109"/>
        <w:gridCol w:w="109"/>
        <w:gridCol w:w="285"/>
        <w:gridCol w:w="286"/>
        <w:gridCol w:w="136"/>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646"/>
        <w:gridCol w:w="109"/>
        <w:gridCol w:w="109"/>
        <w:gridCol w:w="109"/>
        <w:gridCol w:w="109"/>
        <w:gridCol w:w="253"/>
        <w:gridCol w:w="569"/>
        <w:gridCol w:w="154"/>
        <w:gridCol w:w="109"/>
        <w:gridCol w:w="109"/>
        <w:gridCol w:w="109"/>
        <w:gridCol w:w="231"/>
        <w:gridCol w:w="634"/>
        <w:gridCol w:w="141"/>
        <w:gridCol w:w="109"/>
        <w:gridCol w:w="109"/>
        <w:gridCol w:w="109"/>
        <w:gridCol w:w="181"/>
        <w:gridCol w:w="76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Brookfield Oaktree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 in Consolidated Subsidiaries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Unitholders’ Capital</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March 31, 2025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116,373 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43,838 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2,258,167 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Activity for the three months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issuance of units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 exchange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Distributions declared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(177,348)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(184,177)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June 30, 2025</w:t>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41,509 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1,782,817 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(17,745)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9,536 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2,175,192 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Brookfield Oaktree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 in Consolidated Subsidiaries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Unitholders’ Capital</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December 31, 2024</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116,373 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7,765 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2,401,364 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Activity for the six months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issuance of units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Unit exchange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119,433 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Distributions declared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(350,282)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(363,940)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June 30, 2025</w:t>
            </w:r>
          </w:p>
        </w:tc>
        <w:tc>
          <w:tcPr>
            <w:tcW w:w="6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41,509 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1,782,817 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(17,745)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9,536 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2,175,192 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1. ORGANIZATION AND BASIS OF PRESENTATION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used in these condensed consolidated financial statements: </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Oaktree” refers to the Oaktree Operating Group members and, where applicable, their respective subsidiaries and affiliates; and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refers to Brookfield Oaktree Holdings, LLC and, where applicable, its subsidiaries and affiliates.</w:t>
      </w:r>
    </w:p>
    <w:p>
      <w:pPr>
        <w:pStyle w:val="TextBody"/>
        <w:bidi w:val="0"/>
        <w:spacing w:lineRule="auto" w:line="268" w:before="18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holds Credit, Equity and Real Estate investments managed by leading alternative asset management firms Oaktree Capital Management, L.P. and, prior to April 20, 2026, Brookfield Asset Management Ltd (“BAM”). The Company both directly invests in funds and has indirect exposure through its equity method investment in Oaktree Capital I, L.P. (“Oaktree Capital I”), which acts as or controls the general partner of certain Oaktree funds and which holds a majority of Oaktree’s investments in its funds.</w:t>
      </w:r>
    </w:p>
    <w:p>
      <w:pPr>
        <w:pStyle w:val="TextBody"/>
        <w:bidi w:val="0"/>
        <w:spacing w:lineRule="auto" w:line="268" w:before="180" w:after="283"/>
        <w:ind w:left="0" w:right="0" w:firstLine="720"/>
        <w:jc w:val="left"/>
        <w:rPr/>
      </w:pPr>
      <w:r>
        <w:rPr>
          <w:rFonts w:ascii="Arial;sans-serif" w:hAnsi="Arial;sans-serif"/>
          <w:b w:val="false"/>
          <w:color w:val="000000"/>
          <w:sz w:val="20"/>
        </w:rPr>
        <w:t>The Company is a Delaware limited liability company that was formed on April 13, 2007 under the name of Oaktree Capital Group, LLC. The Company’s issued and outstanding member interests are divided into certain classes and series of units. The Company’s outstanding units are held</w:t>
      </w:r>
      <w:r>
        <w:rPr>
          <w:color w:val="008080"/>
        </w:rPr>
        <w:t xml:space="preserve"> </w:t>
      </w:r>
      <w:r>
        <w:rPr>
          <w:rFonts w:ascii="Arial;sans-serif" w:hAnsi="Arial;sans-serif"/>
          <w:b w:val="false"/>
          <w:color w:val="000000"/>
          <w:sz w:val="20"/>
        </w:rPr>
        <w:t xml:space="preserve">by (i) an affiliate of Brookfield Corporation (formerly known as Brookfield Asset Management, Inc.) (“Brookfield”) as the sole holder of the Company’s Class A common units, (ii) preferred unitholders as the holders of Series A and Series B preferred units listed on the NYSE, which represent only the right to receive certain distributions from the Company and such other rights as are specified in the relevant preferred unit designations, and (iii) Oaktree Capital Group Holdings, L.P. (“OCGH”) as the sole holder of the Company’s Class B common units, which units do not represent an economic interest in the Company. OCGH is owned by Oaktree’s senior executives, current and former Oaktree employees, and their respective transferees (collectively,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Company’s ownership and operational structure through June 30, 2026 were the result of (i) certain mergers with affiliates of Brookfield completed on September 30, 2019 (the “Mergers”) and the subsequent restructuring completed on October 1, 2019 in connection with the Mergers (the “2019 Restructuring”), (ii) the restructuring completed on November 30, 2022 in connection with an internal Oaktree reorganization to facilitate the separation of Brookfield’s capital business and asset management business (the “2022 Restructuring”) and (iii) the restructuring completed on July 1, 2024 in connection with an internal Oaktree reorganization which resulted in the change of the general partner of Oaktree Capital I from Brookfield OCM Holdings II, LLC, a subsidiary of the Company, to Oaktree Capital I GP, LLC, a subsidiary of Oaktree Capital Holdings, LLC (“OCH”) (the “2024 Restructuring”). See Part 1,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for more information about the 2022 Restructuring. See Item 8.01 of the Company’s Current Report on Form 8-K filed with the SEC on July 1, 2024 for more information about the 2024 Restructuring.</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Following the above restructurings, the Company’s holdings and operations primarily represented (i) limited partner investments in certain of Oaktree’s flagship opportunistic funds and (ii) its equity method investment in Oaktree Capital I, which holds a majority of Oaktree’s investments in its funds. Prior to April 20, 2026, the Company’s holdings also included an indirect ownership interest in Brookfield Real Estate Income Trust Inc. (“Brookfield REIT”). On April 20, 2026, the Company distributed its 100% equity interest in OCG NTR Holdings, LLC (“NTR”) to Brookfield Oaktree Holdings Canada Inc. (“BOHCI”). As a result, the Company no longer holds an indirect ownership interest in Brookfield REIT.</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68" w:before="180" w:after="283"/>
        <w:ind w:left="0" w:right="0" w:firstLine="720"/>
        <w:jc w:val="left"/>
        <w:rPr/>
      </w:pPr>
      <w:r>
        <w:rPr>
          <w:rFonts w:ascii="Arial;sans-serif" w:hAnsi="Arial;sans-serif"/>
          <w:b w:val="false"/>
          <w:color w:val="000000"/>
          <w:sz w:val="20"/>
        </w:rPr>
        <w:t xml:space="preserve">As a result of the 2024 Restructuring, the Company no longer consolidates the operations of Oaktree Capital I, but rather accounts for its interest in Oaktree Capital I </w:t>
      </w:r>
      <w:r>
        <w:rPr>
          <w:rFonts w:ascii="Arial;sans-serif" w:hAnsi="Arial;sans-serif"/>
          <w:b w:val="false"/>
          <w:color w:val="000000"/>
          <w:sz w:val="20"/>
          <w:shd w:fill="FFFFFF" w:val="clear"/>
        </w:rPr>
        <w:t>under the equity method of accounting</w:t>
      </w:r>
      <w:r>
        <w:rPr>
          <w:rFonts w:ascii="Arial;sans-serif" w:hAnsi="Arial;sans-serif"/>
          <w:b w:val="false"/>
          <w:color w:val="000000"/>
          <w:sz w:val="20"/>
        </w:rPr>
        <w:t>. The Company’s revenue is primarily the investment income earned from (i) limited partner investments in certain of Oaktree’s flagship opportunistic funds and (ii) an equity method investment in Oaktree Capital I. Prior to April 20, 2026, the Company’s revenue also included investment income from its indirect ownership interest in Brookfield REIT. On April 20, 2026, the Company distributed its 100% equity interest in NTR to BOHCI. As a result, the Company no longer has an indirect ownership interest in Brookfield REIT. See Note 14 for additional information regarding the distribution of NTR.</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Payments to the preferred unitholders must be satisfied prior to declaration of any distributions to Class A or Class B unitholders, subject to the terms of the Series A and Series B preferred units and certain limitations and exceptions set forth therein.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OCM, an affiliate of the Company, has since the 2019 Restructuring provided certain administrative and other services relating to the operations of the Company’s business. These services are provided pursuant to a Services Agreement between the Company and OCM (as amended from time to time, the “Services Agreement”).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Basis of Presentation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are prepared in accordance with accounting principles generally accepted in the United States of America (“GAAP”) for interim financial information. The condensed consolidated financial statements, including these notes, are unaudited and exclude some of the disclosures required in annual financial statements. Management believes it has made all necessary adjustments (consisting of only normal recurring items) such that the condensed consolidated financial statements are presented fairly and that estimates made in preparing its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These condensed consolidated financial statements should be read in conjunction with the audited consolidated financial statements of the Company for the year ended December 31, 2025 included in the Company’s Annual Report on Form 10-K filed with the SEC on March 24, 2026.</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the condensed consolidated financial statements in accordance with GAAP requires the Company to make estimates and assumptions that affect the reported amounts of assets and liabilities as of the date of the condensed consolidated financial statements, as well as the reported amounts of income and expenses during the period then ended.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Accounting Policies of the Company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Consolidation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In situations where power over an entity’s most significant activities is shared among related parties, a qualitative analysis is required to determine which party within the related party group is most closely associated with the VIE. The party within the related party group that is most closely associated with the VIE is the primary beneficiary and is required to consolidate and disclose the impact of the VIE.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Consolidated funds” historically refers to Oaktree-managed funds that the Company is required to consolidate. When funds are consolidated, the Company reflects the assets, liabilities, revenues, expenses and cash flows of the funds on a gross basis, and the majority of the economic interests in those funds, which are held by third-party investors, are reflected as non-controlling interests in consolidated funds in the condensed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entities in which the Company is deemed to have significant influence, including Oaktree Capital I, are accounted for under the equity method of accounting.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Non-controlling Redeemable Interests in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records non-controlling interests to reflect the economic interests of the unaffiliated limited partners in Oaktree-managed funds. These interests are presented as non-controlling redeemable interests in consolidated funds within the condensed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allocation of net income or loss to non-controlling redeemable interests in consolidated funds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Non-controlling Interests in Consolidated Subsidiaries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Non-controlling interests in consolidated subsidiaries represent the portion of unitholders’ capital and the related income or loss attributable to affiliated entities based on their relative economic interests, after giving effect to contractual arrangements governing allocations of income or loss.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Financial assets and liabilities measured and reported at fair value are classified as follows:</w:t>
      </w:r>
    </w:p>
    <w:p>
      <w:pPr>
        <w:pStyle w:val="TextBody"/>
        <w:bidi w:val="0"/>
        <w:spacing w:lineRule="auto" w:line="288" w:before="180" w:after="283"/>
        <w:ind w:left="0" w:right="0" w:firstLine="360"/>
        <w:jc w:val="left"/>
        <w:rPr/>
      </w:pPr>
      <w:r>
        <w:rPr>
          <w:color w:val="000000"/>
        </w:rPr>
        <w:t>•</w:t>
      </w:r>
      <w:r>
        <w:rPr>
          <w:rFonts w:ascii="Arial;sans-serif" w:hAnsi="Arial;sans-serif"/>
          <w:b w:val="false"/>
          <w:color w:val="000000"/>
          <w:sz w:val="20"/>
        </w:rPr>
        <w:t>Level I – Quoted unadjusted prices for identical instruments in active markets to which the                 Company has access at the date of measurement. The types of investments in Level I include exchange-traded equities, debt and derivatives with quoted prices.</w:t>
      </w:r>
    </w:p>
    <w:p>
      <w:pPr>
        <w:pStyle w:val="TextBody"/>
        <w:bidi w:val="0"/>
        <w:spacing w:lineRule="auto" w:line="288" w:before="180" w:after="283"/>
        <w:ind w:left="0" w:right="0" w:firstLine="360"/>
        <w:jc w:val="left"/>
        <w:rPr/>
      </w:pPr>
      <w:r>
        <w:rPr>
          <w:color w:val="000000"/>
        </w:rPr>
        <w:t>•</w:t>
      </w:r>
      <w:r>
        <w:rPr>
          <w:rFonts w:ascii="Arial;sans-serif" w:hAnsi="Arial;sans-serif"/>
          <w:b w:val="false"/>
          <w:color w:val="000000"/>
          <w:sz w:val="20"/>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and other investments where the fair value is based on observable inputs.</w:t>
      </w:r>
    </w:p>
    <w:p>
      <w:pPr>
        <w:pStyle w:val="TextBody"/>
        <w:bidi w:val="0"/>
        <w:spacing w:lineRule="auto" w:line="288" w:before="180" w:after="283"/>
        <w:ind w:left="0" w:right="0" w:firstLine="360"/>
        <w:jc w:val="left"/>
        <w:rPr/>
      </w:pPr>
      <w:r>
        <w:rPr>
          <w:color w:val="000000"/>
        </w:rPr>
        <w:t>•</w:t>
      </w:r>
      <w:r>
        <w:rPr>
          <w:rFonts w:ascii="Arial;sans-serif" w:hAnsi="Arial;sans-serif"/>
          <w:b w:val="false"/>
          <w:color w:val="000000"/>
          <w:sz w:val="20"/>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pStyle w:val="TextBody"/>
        <w:bidi w:val="0"/>
        <w:spacing w:lineRule="auto" w:line="288" w:before="180" w:after="283"/>
        <w:ind w:left="0" w:right="0" w:firstLine="720"/>
        <w:jc w:val="left"/>
        <w:rPr/>
      </w:pPr>
      <w:r>
        <w:rPr>
          <w:rFonts w:ascii="Arial;sans-serif" w:hAnsi="Arial;sans-serif"/>
          <w:b w:val="false"/>
          <w:color w:val="000000"/>
          <w:sz w:val="20"/>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w:t>
      </w:r>
      <w:r>
        <w:rPr>
          <w:rFonts w:ascii="Arial;sans-serif" w:hAnsi="Arial;sans-serif"/>
          <w:b w:val="false"/>
          <w:color w:val="000000"/>
          <w:sz w:val="20"/>
          <w:shd w:fill="FFFFFF" w:val="clear"/>
        </w:rPr>
        <w:t xml:space="preserv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pPr>
      <w:r>
        <w:rPr>
          <w:rFonts w:ascii="Arial;sans-serif" w:hAnsi="Arial;sans-serif"/>
          <w:b w:val="false"/>
          <w:color w:val="000000"/>
          <w:sz w:val="20"/>
          <w:shd w:fill="FFFFFF" w:val="clear"/>
        </w:rPr>
        <w:t>specific event, such as a reorganization or restructuring, ar</w:t>
      </w:r>
      <w:r>
        <w:rPr>
          <w:rFonts w:ascii="Arial;sans-serif" w:hAnsi="Arial;sans-serif"/>
          <w:b w:val="false"/>
          <w:color w:val="000000"/>
          <w:sz w:val="20"/>
        </w:rPr>
        <w:t>e accounted for as of the date of the event that caused the transfer.</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 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and Cash-equivalents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Cash and cash-equivalents include demand deposit accounts, money market funds, and other short-term investments with maturities of three months or less at the date of acquisition.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At June 30, 2026 and December 31, 2025, the Company had cash balances with financial institutions in excess of Federal Deposit Insurance Corporation insured limits. The Company monitors the credit standing of these financial institutions.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Corporate Investments</w:t>
      </w:r>
    </w:p>
    <w:p>
      <w:pPr>
        <w:pStyle w:val="TextBody"/>
        <w:bidi w:val="0"/>
        <w:spacing w:lineRule="auto" w:line="268" w:before="180" w:after="283"/>
        <w:ind w:left="0" w:right="0" w:firstLine="720"/>
        <w:jc w:val="left"/>
        <w:rPr/>
      </w:pPr>
      <w:r>
        <w:rPr>
          <w:rFonts w:ascii="Arial;sans-serif" w:hAnsi="Arial;sans-serif"/>
          <w:b w:val="false"/>
          <w:color w:val="000000"/>
          <w:sz w:val="20"/>
        </w:rPr>
        <w:t>Corporate investments consist of investments in funds and the Company’s investment in Oaktree Capital I</w:t>
      </w:r>
      <w:r>
        <w:rPr>
          <w:rFonts w:ascii="Arial;sans-serif" w:hAnsi="Arial;sans-serif"/>
          <w:b w:val="false"/>
          <w:color w:val="000000"/>
          <w:sz w:val="20"/>
          <w:shd w:fill="FFFFFF" w:val="clear"/>
        </w:rPr>
        <w:t>, which is accounted for under the equity method of accounting. Prior to April 20, 2026, corporate investments also included the Company’s indirect ownership in Brookfield REIT. The Company distributed its 100% equity interest in NTR on April 20, 2026. As a result, the Company no longer has an indirect ownership interest in Brookfield REIT. See Note 14 for additional information regarding the distribution of NTR.</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Investments for which the Company is deemed to have significant influence are accounted for under the equity method of accounting and have historically reflected the Company’s ownership interest in each fund or company. In the case of investments for which the Company is not deemed to have significant influence or control, the fair value option of accounting has been elected. Oaktree Capital I’s underlying general partnership interests are substantially illiquid. While Oaktree Capital I’s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other factors. Valuation adjustments reflecting consideration of credit quality, concentration risk, sales restrictions and other liquidity factors are integral to valuing these instruments.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Non-investment grade debt securities include domestic and international corporate fixed and floating rate debt and structured credit investments. These securities are classified as trading and are recorded at fair value with changes in fair value included in investment income.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Revenue Recognition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 Income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records investment income (loss) from its equity method investments which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represents the Company’s pro-rata share of income or loss from these investments, or the change in fair value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investment, as applicable, and consists of both unrealized and realized gains and losses. Investment income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is realized when the Company sells all or a portion of its investments or when the Company receives or is due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income. Unrealized investment income (loss) results from the proportionate share of the investments’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unrealized earnings, including changes in the fair value of the underlying investments. The cash distributions from the Company’s equity investments are classified based on the nature of the underlying transaction which resulted in the distribution. Cash distributions that are determined to be realized gains (losses) are included in Cash Flows from Operating Activities and distributions that are returns of capital are included in the Cash Flows from Investing Activities section of the Consolidated Statements of Cash Flows.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Compensation and Benefits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Compensation and benefits primarily reflect compensation to the Company’s board of directors.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is a publicly traded partnership. Because it satisfies the qualifying income test, it is not required to be treated as a corporation for U.S. federal and state income tax purposes; rather it is taxed as a partnership.</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Comprehensive Income (Loss)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Comprehensive income (loss) consists of net income (loss) and other gains and losses affecting unitholders’ capital that are excluded from net income (loss).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Accounting Policies of Consolidated Funds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 Transactions and Income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Investments denominated in non-U.S. currencies are recorded in the condensed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condensed consolidated statements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and Cash-equivalents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Receivable for Investments Sold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condensed consolidated statements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Investments, at Fair Value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include investment limited partnerships that reflect their investments, including majority-owned and controlled investments, at fair value. The Company has retained the specialized investment company accounting guidance for investment limited partnerships with respect to consolidated investments. Thus, the consolidated investments are reflected in the condensed consolidated statements of financial condition at fair value, with unrealized gains and losses resulting from changes in fair value reflected as a component of net change in unrealized appreciation (depreciation) on consolidated funds’ investments in the condensed consolidated statements of operations. Fair value is the amount that would be received to sell an asset or paid to transfer a liability in an orderly transaction between market participants at the measurement date (i.e., the exit price).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Exchange-traded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condensed consolidated statements of financial condition and results of operations for all periods presented.</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Credit-oriented Investments (including Real Estate Loan Portfolios)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Non-publicly Traded Equity and Real Estate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transferability of the securities.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condensed consolidated financial statements.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Securities Sold Short</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condensed consolidated statements of financial condition.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Securities sold short are recorded at fair value, with the resulting change in value reflected as a component of net change in unrealized appreciation (depreciation) on consolidated funds’ investments in the condensed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condensed consolidated statements of financial condition.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condensed consolidated statements of financial condition.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Total-return Swaps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Due From Brokers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Due from brokers represents cash owned by the consolidated funds and cash collateral on deposit with brokers and counterparties that are used as collateral for the consolidated funds’ securities and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180" w:after="283"/>
        <w:ind w:left="0" w:right="0" w:firstLine="720"/>
        <w:jc w:val="left"/>
        <w:rPr/>
      </w:pPr>
      <w:r>
        <w:rPr>
          <w:rFonts w:ascii="Arial;sans-serif" w:hAnsi="Arial;sans-serif"/>
          <w:b w:val="false"/>
          <w:color w:val="000000"/>
          <w:sz w:val="20"/>
        </w:rPr>
        <w:t>Certain consolidated funds invest primarily in the securities of entities that are undergoing, or are considered likely to undergo, reorganization, de</w:t>
      </w:r>
      <w:r>
        <w:rPr>
          <w:rFonts w:ascii="Arial;sans-serif" w:hAnsi="Arial;sans-serif"/>
          <w:b w:val="false"/>
          <w:color w:val="000000"/>
          <w:sz w:val="20"/>
          <w:shd w:fill="FFFFFF" w:val="clear"/>
        </w:rPr>
        <w:t>bt restructuring, l</w:t>
      </w:r>
      <w:r>
        <w:rPr>
          <w:rFonts w:ascii="Arial;sans-serif" w:hAnsi="Arial;sans-serif"/>
          <w:b w:val="false"/>
          <w:color w:val="000000"/>
          <w:sz w:val="20"/>
        </w:rPr>
        <w:t>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pStyle w:val="TextBody"/>
        <w:bidi w:val="0"/>
        <w:spacing w:lineRule="auto" w:line="288" w:before="180" w:after="283"/>
        <w:ind w:left="0" w:right="0" w:firstLine="720"/>
        <w:jc w:val="left"/>
        <w:rPr/>
      </w:pPr>
      <w:r>
        <w:rPr>
          <w:rFonts w:ascii="Arial;sans-serif" w:hAnsi="Arial;sans-serif"/>
          <w:b w:val="false"/>
          <w:color w:val="000000"/>
          <w:sz w:val="20"/>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w:t>
      </w:r>
      <w:r>
        <w:rPr>
          <w:rFonts w:ascii="Arial;sans-serif" w:hAnsi="Arial;sans-serif"/>
          <w:b w:val="false"/>
          <w:color w:val="000000"/>
          <w:sz w:val="20"/>
          <w:shd w:fill="FFFFFF" w:val="clear"/>
        </w:rPr>
        <w:t xml:space="preserve">ns or restructuring, which </w:t>
      </w:r>
      <w:r>
        <w:rPr>
          <w:rFonts w:ascii="Arial;sans-serif" w:hAnsi="Arial;sans-serif"/>
          <w:b w:val="false"/>
          <w:color w:val="000000"/>
          <w:sz w:val="20"/>
        </w:rPr>
        <w:t>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Recent Accounting Developments</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December 2023, the FASB issued ASU 2023-09, Improvements to Income Tax Disclosures,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 This ASU is effective January 1, 2025, with early adoption permitted in the interim or annual periods. Transition is prospective with the option to apply retrospective application. The Company adopted the ASU effective January 1, 2025, and the adoption did not have a material impact on its consolidated financial statements.</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November 2024, the FASB issued ASU 2024-03, Income Statement - Reporting Comprehensive Income - Expense Disaggregation Disclosures (subtopic 220-40), which requires disclosure of disaggregation of certain relevant expenses included in the statements of operations on an annual and interim basis. ASU 2024-03 will be effective for our annual periods beginning January 1, 2027 and interim periods beginning January 1, 2028. The amendments must be applied retrospectively, and early adoption is permitted. We are currently evaluating the effects of adoption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3. REVENUES</w:t>
      </w:r>
    </w:p>
    <w:p>
      <w:pPr>
        <w:pStyle w:val="TextBody"/>
        <w:bidi w:val="0"/>
        <w:spacing w:lineRule="auto" w:line="268" w:before="300"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Company earns investment income from the investments the Company makes in its investment in Oaktree Capital I, Oaktree funds, third-party funds and other companies. Revenues by investment types are set forth below.</w:t>
      </w:r>
    </w:p>
    <w:tbl>
      <w:tblPr>
        <w:tblW w:w="7650" w:type="dxa"/>
        <w:jc w:val="left"/>
        <w:tblInd w:w="0" w:type="dxa"/>
        <w:tblLayout w:type="fixed"/>
        <w:tblCellMar>
          <w:top w:w="28" w:type="dxa"/>
          <w:left w:w="28" w:type="dxa"/>
          <w:bottom w:w="28" w:type="dxa"/>
          <w:right w:w="28" w:type="dxa"/>
        </w:tblCellMar>
      </w:tblPr>
      <w:tblGrid>
        <w:gridCol w:w="939"/>
        <w:gridCol w:w="825"/>
        <w:gridCol w:w="83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9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Investment Income (Loss)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income (loss)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VARIABLE INTEREST ENTITIES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 consolidates VIEs for which the Company is the primary beneficiary. VIEs include funds managed by Oaktree for which Oaktree acts as collateral manager. The purpose of these VIEs is to provide investment opportunities for investors in exchange for management fees and, in certain cases, performance-based fees. While the investment strategies of the funds differ by product, in general the fundamental risks of the funds have similar characteristics, including loss of invested capital and reduction or absence of management and performance-based fees. As general partner or collateral manager, respectively, Oaktree generally considers itself the sponsor of the applicable fund. The Company does not provide performance guarantees and, other than capital commitments, has no financial obligation to provide funding to VIEs.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Consolidated VIEs</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and December 31, 2025, the Company consolidated two VIEs through which interests are held in Oaktree Opportunities Fund XI, L.P. and Oaktree Opportunities Fund XII, L.P. as the Company was the primary beneficiary.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the combined assets and liabilities of the two consolidated VIEs amounted to $5.9 billion and $1.7 billion, respectively. The assets of these consolidated VIEs primarily consisted of investments in debt and equity securities. The assets of these VIEs may be used only to settle obligations of the same VIE. In addition, there is no recourse to the Company for the VIEs’ liabilities. As of June 30, 2026,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investments in consolidated VIEs had a carrying value of $0.9 billion, which represented its maximum risk of loss as of that date.</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Unconsolidated VIEs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held variable interests in certain VIEs in the form of direct equity interests that are not consolidated because it is not the primary beneficiary, as its fee arrangements are considered at-market and it does not hold interests in those entities that are considered more than insignificant.</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carrying value of the Company’s investments in VIEs that were not consolidated are shown below.</w:t>
      </w:r>
    </w:p>
    <w:tbl>
      <w:tblPr>
        <w:tblW w:w="5297" w:type="dxa"/>
        <w:jc w:val="left"/>
        <w:tblInd w:w="0" w:type="dxa"/>
        <w:tblLayout w:type="fixed"/>
        <w:tblCellMar>
          <w:top w:w="28" w:type="dxa"/>
          <w:left w:w="28" w:type="dxa"/>
          <w:bottom w:w="28" w:type="dxa"/>
          <w:right w:w="28" w:type="dxa"/>
        </w:tblCellMar>
      </w:tblPr>
      <w:tblGrid>
        <w:gridCol w:w="831"/>
        <w:gridCol w:w="731"/>
        <w:gridCol w:w="732"/>
        <w:gridCol w:w="211"/>
        <w:gridCol w:w="976"/>
        <w:gridCol w:w="109"/>
        <w:gridCol w:w="109"/>
        <w:gridCol w:w="109"/>
        <w:gridCol w:w="109"/>
        <w:gridCol w:w="217"/>
        <w:gridCol w:w="1005"/>
        <w:gridCol w:w="15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Carrying Value as of</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investments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1,119,817 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Due from affiliates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Maximum exposure to loss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1,150,227 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1,120,368 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5. INVESTMENTS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Corporate Investments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Corporate investments consisted of the following:</w:t>
      </w:r>
    </w:p>
    <w:tbl>
      <w:tblPr>
        <w:tblW w:w="5372" w:type="dxa"/>
        <w:jc w:val="left"/>
        <w:tblInd w:w="0" w:type="dxa"/>
        <w:tblLayout w:type="fixed"/>
        <w:tblCellMar>
          <w:top w:w="28" w:type="dxa"/>
          <w:left w:w="28" w:type="dxa"/>
          <w:bottom w:w="28" w:type="dxa"/>
          <w:right w:w="28" w:type="dxa"/>
        </w:tblCellMar>
      </w:tblPr>
      <w:tblGrid>
        <w:gridCol w:w="858"/>
        <w:gridCol w:w="754"/>
        <w:gridCol w:w="757"/>
        <w:gridCol w:w="211"/>
        <w:gridCol w:w="976"/>
        <w:gridCol w:w="109"/>
        <w:gridCol w:w="109"/>
        <w:gridCol w:w="109"/>
        <w:gridCol w:w="109"/>
        <w:gridCol w:w="217"/>
        <w:gridCol w:w="1005"/>
        <w:gridCol w:w="158"/>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Corporate Investments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Equity-method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315,801 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1,114,972 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1,149,676 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1,430,773 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Equity-method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Company’s equity-method investments include its investments in funds and companies that are not consolidated, but for which the Company is deemed to have significant influence. The Company’s share of income or loss generated by these investments is recorded within investment income in the condensed consolidated statements of operations. The Company’s equity-method investments in Oaktree funds principally reflect the Company’s general partner interests in those funds, which typically do not exceed 2.5% in each fund. The Oaktree funds are investment companies that follow a specialized basis of accounting established by GAAP. In connection with the 2024 Restructuring, the Company determined that it is no longer the primary beneficiary of Oaktree Capital I and deconsolidated the entity, which is accounted for as an equity method investment beginning with the third quarter of 2024.</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June 27, 2023, the Company entered into a contribution agreement with Brookfield Corporate Treasury Ltd. and acquired the equity ownership in certain entities which beneficially own shares in Brookfield REIT. The Company accounted for the acquired interests as equity method investments with fair value election. The fair value option was elected to simplify the accounting for the investment in NTR. Changes in the fair value of, and cash dividends received from, the investment in NTR were included in investment income. On April 20, 2026, the Company distributed its 100% equity interest in NTR to BOHCI. During the six months ended June 30, 2026 and 2025, the Company recognized an equity investment gain of $6.4 million and an equity investment loss of $3.8 million, respectively. See Note 14 for additional information regarding the acquisition and the distribution of the indirect interest in Brookfield REIT.</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Each reporting period, the Company evaluates each of its equity-method investments to determine if any are considered significant, as defined by the SEC. As of June 30, 2026, or for the six months ended June 30, 2026, the Company determined Oaktree Capital I met the significance criteria. No other individual equity method investment met the significance criteria. </w:t>
      </w:r>
    </w:p>
    <w:p>
      <w:pPr>
        <w:pStyle w:val="TextBody"/>
        <w:bidi w:val="0"/>
        <w:spacing w:lineRule="auto" w:line="288" w:before="180" w:after="283"/>
        <w:ind w:left="0" w:right="0" w:firstLine="720"/>
        <w:jc w:val="center"/>
        <w:rPr>
          <w:rFonts w:ascii="Arial;sans-serif" w:hAnsi="Arial;sans-serif"/>
          <w:b w:val="false"/>
          <w:color w:val="000000"/>
          <w:sz w:val="20"/>
        </w:rPr>
      </w:pPr>
      <w:r>
        <w:rPr>
          <w:rFonts w:ascii="Arial;sans-serif" w:hAnsi="Arial;sans-serif"/>
          <w:b w:val="false"/>
          <w:color w:val="000000"/>
          <w:sz w:val="20"/>
        </w:rPr>
        <w:t>Summarized financial information of Oaktree Capital I is set forth below.</w:t>
      </w:r>
    </w:p>
    <w:tbl>
      <w:tblPr>
        <w:tblW w:w="9855" w:type="dxa"/>
        <w:jc w:val="center"/>
        <w:tblInd w:w="0" w:type="dxa"/>
        <w:tblLayout w:type="fixed"/>
        <w:tblCellMar>
          <w:top w:w="28" w:type="dxa"/>
          <w:left w:w="28" w:type="dxa"/>
          <w:bottom w:w="28" w:type="dxa"/>
          <w:right w:w="28" w:type="dxa"/>
        </w:tblCellMar>
      </w:tblPr>
      <w:tblGrid>
        <w:gridCol w:w="1654"/>
        <w:gridCol w:w="1450"/>
        <w:gridCol w:w="145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6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 investment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91,229 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and unrealized gain (loss) on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(loss) income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57,171 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720"/>
        <w:jc w:val="left"/>
        <w:rPr/>
      </w:pPr>
      <w:r>
        <w:rPr/>
      </w:r>
    </w:p>
    <w:p>
      <w:pPr>
        <w:pStyle w:val="TextBody"/>
        <w:bidi w:val="0"/>
        <w:spacing w:before="18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before="180" w:after="283"/>
        <w:ind w:left="0" w:right="0" w:firstLine="720"/>
        <w:jc w:val="left"/>
        <w:rPr/>
      </w:pPr>
      <w:r>
        <w:rPr/>
      </w:r>
    </w:p>
    <w:p>
      <w:pPr>
        <w:pStyle w:val="TextBody"/>
        <w:bidi w:val="0"/>
        <w:spacing w:lineRule="auto" w:line="288" w:before="180" w:after="283"/>
        <w:ind w:left="0" w:right="0" w:firstLine="720"/>
        <w:jc w:val="center"/>
        <w:rPr>
          <w:rFonts w:ascii="Arial;sans-serif" w:hAnsi="Arial;sans-serif"/>
          <w:b w:val="false"/>
          <w:color w:val="000000"/>
          <w:sz w:val="20"/>
        </w:rPr>
      </w:pPr>
      <w:r>
        <w:rPr>
          <w:rFonts w:ascii="Arial;sans-serif" w:hAnsi="Arial;sans-serif"/>
          <w:b w:val="false"/>
          <w:color w:val="000000"/>
          <w:sz w:val="20"/>
        </w:rPr>
        <w:t xml:space="preserve">Summarized financial information of the Company’s remaining equity-method investments is set forth below. </w:t>
      </w:r>
    </w:p>
    <w:tbl>
      <w:tblPr>
        <w:tblW w:w="9750" w:type="dxa"/>
        <w:jc w:val="center"/>
        <w:tblInd w:w="0" w:type="dxa"/>
        <w:tblLayout w:type="fixed"/>
        <w:tblCellMar>
          <w:top w:w="28" w:type="dxa"/>
          <w:left w:w="28" w:type="dxa"/>
          <w:bottom w:w="28" w:type="dxa"/>
          <w:right w:w="28" w:type="dxa"/>
        </w:tblCellMar>
      </w:tblPr>
      <w:tblGrid>
        <w:gridCol w:w="1654"/>
        <w:gridCol w:w="1450"/>
        <w:gridCol w:w="145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 investment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86,891 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and unrealized gain (loss) on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Investments of Consolidated Funds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Investments, at Fair Value</w:t>
      </w:r>
    </w:p>
    <w:p>
      <w:pPr>
        <w:pStyle w:val="TextBody"/>
        <w:bidi w:val="0"/>
        <w:spacing w:lineRule="auto" w:line="288" w:before="180" w:after="180"/>
        <w:ind w:left="0" w:right="0" w:firstLine="720"/>
        <w:jc w:val="center"/>
        <w:rPr>
          <w:rFonts w:ascii="Arial;sans-serif" w:hAnsi="Arial;sans-serif"/>
          <w:b w:val="false"/>
          <w:color w:val="000000"/>
          <w:sz w:val="20"/>
        </w:rPr>
      </w:pPr>
      <w:r>
        <w:rPr>
          <w:rFonts w:ascii="Arial;sans-serif" w:hAnsi="Arial;sans-serif"/>
          <w:b w:val="false"/>
          <w:color w:val="000000"/>
          <w:sz w:val="20"/>
        </w:rPr>
        <w:t xml:space="preserve">Investments held and securities sold short by the consolidated funds are summarized below: </w:t>
      </w:r>
    </w:p>
    <w:tbl>
      <w:tblPr>
        <w:tblW w:w="10205" w:type="dxa"/>
        <w:jc w:val="center"/>
        <w:tblInd w:w="0" w:type="dxa"/>
        <w:tblLayout w:type="fixed"/>
        <w:tblCellMar>
          <w:top w:w="28" w:type="dxa"/>
          <w:left w:w="28" w:type="dxa"/>
          <w:bottom w:w="28" w:type="dxa"/>
          <w:right w:w="28" w:type="dxa"/>
        </w:tblCellMar>
      </w:tblPr>
      <w:tblGrid>
        <w:gridCol w:w="1442"/>
        <w:gridCol w:w="1267"/>
        <w:gridCol w:w="1271"/>
        <w:gridCol w:w="196"/>
        <w:gridCol w:w="871"/>
        <w:gridCol w:w="109"/>
        <w:gridCol w:w="109"/>
        <w:gridCol w:w="109"/>
        <w:gridCol w:w="109"/>
        <w:gridCol w:w="206"/>
        <w:gridCol w:w="919"/>
        <w:gridCol w:w="114"/>
        <w:gridCol w:w="109"/>
        <w:gridCol w:w="109"/>
        <w:gridCol w:w="109"/>
        <w:gridCol w:w="369"/>
        <w:gridCol w:w="223"/>
        <w:gridCol w:w="524"/>
        <w:gridCol w:w="223"/>
        <w:gridCol w:w="223"/>
        <w:gridCol w:w="223"/>
        <w:gridCol w:w="387"/>
        <w:gridCol w:w="363"/>
        <w:gridCol w:w="621"/>
      </w:tblGrid>
      <w:tr>
        <w:trPr/>
        <w:tc>
          <w:tcPr>
            <w:tcW w:w="144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as a Percentage of Investments of Consolidated Funds as of</w:t>
            </w:r>
          </w:p>
        </w:tc>
      </w:tr>
      <w:tr>
        <w:trPr/>
        <w:tc>
          <w:tcPr>
            <w:tcW w:w="3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Investments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Debt securities (cost: $1,682,592 and $1,410,932 as of June 30, 2026 and December 31, 2025, respectively)</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1,245,636 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6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securities (cost: $1,900,527 and $1,658,791 as of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2,058,375 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3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 estate securities (cost: $83,411 and $81,097 as of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85,059 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325"/>
        <w:gridCol w:w="2035"/>
        <w:gridCol w:w="2068"/>
        <w:gridCol w:w="368"/>
        <w:gridCol w:w="368"/>
        <w:gridCol w:w="109"/>
        <w:gridCol w:w="109"/>
        <w:gridCol w:w="109"/>
        <w:gridCol w:w="109"/>
        <w:gridCol w:w="368"/>
        <w:gridCol w:w="368"/>
        <w:gridCol w:w="109"/>
        <w:gridCol w:w="109"/>
        <w:gridCol w:w="109"/>
        <w:gridCol w:w="109"/>
        <w:gridCol w:w="188"/>
        <w:gridCol w:w="188"/>
        <w:gridCol w:w="109"/>
        <w:gridCol w:w="109"/>
        <w:gridCol w:w="109"/>
        <w:gridCol w:w="109"/>
        <w:gridCol w:w="233"/>
        <w:gridCol w:w="233"/>
        <w:gridCol w:w="155"/>
      </w:tblGrid>
      <w:tr>
        <w:trPr/>
        <w:tc>
          <w:tcPr>
            <w:tcW w:w="232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760" w:type="dxa"/>
            <w:gridSpan w:val="12"/>
            <w:tcBorders/>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Debt securities (cost: $288,571 and $220,047 as of June 30,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securities (cost: $283,290 and $332,655 as of June 30,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 estate securities (cost: $289,938 and $248,112 as of June 30,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and other:</w:t>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4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Debt securities (cost: $415,831 and $556,028 as of June 30,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88"/>
        <w:gridCol w:w="1654"/>
        <w:gridCol w:w="1659"/>
        <w:gridCol w:w="196"/>
        <w:gridCol w:w="871"/>
        <w:gridCol w:w="109"/>
        <w:gridCol w:w="109"/>
        <w:gridCol w:w="109"/>
        <w:gridCol w:w="109"/>
        <w:gridCol w:w="196"/>
        <w:gridCol w:w="871"/>
        <w:gridCol w:w="109"/>
        <w:gridCol w:w="109"/>
        <w:gridCol w:w="109"/>
        <w:gridCol w:w="109"/>
        <w:gridCol w:w="278"/>
        <w:gridCol w:w="278"/>
        <w:gridCol w:w="256"/>
        <w:gridCol w:w="109"/>
        <w:gridCol w:w="109"/>
        <w:gridCol w:w="109"/>
        <w:gridCol w:w="278"/>
        <w:gridCol w:w="278"/>
        <w:gridCol w:w="303"/>
      </w:tblGrid>
      <w:tr>
        <w:trPr/>
        <w:tc>
          <w:tcPr>
            <w:tcW w:w="188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325" w:type="dxa"/>
            <w:gridSpan w:val="12"/>
            <w:tcBorders/>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securities (cost: $74,199 and $111,335 as of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3" w:type="dxa"/>
            <w:tcBorders/>
            <w:tcMar>
              <w:top w:w="0" w:type="dxa"/>
              <w:left w:w="0" w:type="dxa"/>
              <w:bottom w:w="0" w:type="dxa"/>
              <w:right w:w="0" w:type="dxa"/>
            </w:tcMar>
            <w:vAlign w:val="center"/>
          </w:tcPr>
          <w:p>
            <w:pPr>
              <w:pStyle w:val="TableContents"/>
              <w:bidi w:val="0"/>
              <w:spacing w:before="0" w:after="283"/>
              <w:ind w:left="0" w:right="0" w:hanging="990"/>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5,515,730 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5,012,977 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7581" w:type="dxa"/>
        <w:jc w:val="left"/>
        <w:tblInd w:w="0" w:type="dxa"/>
        <w:tblLayout w:type="fixed"/>
        <w:tblCellMar>
          <w:top w:w="28" w:type="dxa"/>
          <w:left w:w="28" w:type="dxa"/>
          <w:bottom w:w="28" w:type="dxa"/>
          <w:right w:w="28" w:type="dxa"/>
        </w:tblCellMar>
      </w:tblPr>
      <w:tblGrid>
        <w:gridCol w:w="933"/>
        <w:gridCol w:w="820"/>
        <w:gridCol w:w="826"/>
        <w:gridCol w:w="196"/>
        <w:gridCol w:w="871"/>
        <w:gridCol w:w="109"/>
        <w:gridCol w:w="109"/>
        <w:gridCol w:w="109"/>
        <w:gridCol w:w="109"/>
        <w:gridCol w:w="196"/>
        <w:gridCol w:w="871"/>
        <w:gridCol w:w="109"/>
        <w:gridCol w:w="109"/>
        <w:gridCol w:w="109"/>
        <w:gridCol w:w="109"/>
        <w:gridCol w:w="278"/>
        <w:gridCol w:w="278"/>
        <w:gridCol w:w="256"/>
        <w:gridCol w:w="109"/>
        <w:gridCol w:w="109"/>
        <w:gridCol w:w="109"/>
        <w:gridCol w:w="278"/>
        <w:gridCol w:w="278"/>
        <w:gridCol w:w="301"/>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323" w:type="dxa"/>
            <w:gridSpan w:val="12"/>
            <w:tcBorders/>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investments by type: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2,947,854 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 securities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investments, at fair value</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5,515,730 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5,012,977 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36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 the following issuers or investments had a fair value that exceeded 5% of the Company’s total consolidated net assets.</w:t>
      </w:r>
    </w:p>
    <w:p>
      <w:pPr>
        <w:pStyle w:val="TextBody"/>
        <w:bidi w:val="0"/>
        <w:spacing w:before="0" w:after="0"/>
        <w:ind w:left="0" w:right="0" w:firstLine="720"/>
        <w:jc w:val="left"/>
        <w:rPr/>
      </w:pPr>
      <w:r>
        <w:rPr/>
      </w:r>
    </w:p>
    <w:tbl>
      <w:tblPr>
        <w:tblW w:w="6187" w:type="dxa"/>
        <w:jc w:val="left"/>
        <w:tblInd w:w="0" w:type="dxa"/>
        <w:tblLayout w:type="fixed"/>
        <w:tblCellMar>
          <w:top w:w="28" w:type="dxa"/>
          <w:left w:w="28" w:type="dxa"/>
          <w:bottom w:w="28" w:type="dxa"/>
          <w:right w:w="28" w:type="dxa"/>
        </w:tblCellMar>
      </w:tblPr>
      <w:tblGrid>
        <w:gridCol w:w="894"/>
        <w:gridCol w:w="789"/>
        <w:gridCol w:w="792"/>
        <w:gridCol w:w="109"/>
        <w:gridCol w:w="109"/>
        <w:gridCol w:w="109"/>
        <w:gridCol w:w="524"/>
        <w:gridCol w:w="524"/>
        <w:gridCol w:w="526"/>
        <w:gridCol w:w="109"/>
        <w:gridCol w:w="109"/>
        <w:gridCol w:w="109"/>
        <w:gridCol w:w="433"/>
        <w:gridCol w:w="433"/>
        <w:gridCol w:w="618"/>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 Amount/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Combined Fair Value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213,719,317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Hartree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$299,376</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the following issuers or investments had a fair value that exceeded 5% of the Company’s total consolidated net assets.</w:t>
      </w:r>
    </w:p>
    <w:p>
      <w:pPr>
        <w:pStyle w:val="TextBody"/>
        <w:bidi w:val="0"/>
        <w:spacing w:before="0" w:after="0"/>
        <w:ind w:left="0" w:right="0" w:firstLine="720"/>
        <w:jc w:val="left"/>
        <w:rPr/>
      </w:pPr>
      <w:r>
        <w:rPr/>
      </w:r>
    </w:p>
    <w:tbl>
      <w:tblPr>
        <w:tblW w:w="6848" w:type="dxa"/>
        <w:jc w:val="left"/>
        <w:tblInd w:w="0" w:type="dxa"/>
        <w:tblLayout w:type="fixed"/>
        <w:tblCellMar>
          <w:top w:w="28" w:type="dxa"/>
          <w:left w:w="28" w:type="dxa"/>
          <w:bottom w:w="28" w:type="dxa"/>
          <w:right w:w="28" w:type="dxa"/>
        </w:tblCellMar>
      </w:tblPr>
      <w:tblGrid>
        <w:gridCol w:w="894"/>
        <w:gridCol w:w="789"/>
        <w:gridCol w:w="792"/>
        <w:gridCol w:w="109"/>
        <w:gridCol w:w="109"/>
        <w:gridCol w:w="109"/>
        <w:gridCol w:w="744"/>
        <w:gridCol w:w="744"/>
        <w:gridCol w:w="747"/>
        <w:gridCol w:w="109"/>
        <w:gridCol w:w="109"/>
        <w:gridCol w:w="109"/>
        <w:gridCol w:w="433"/>
        <w:gridCol w:w="433"/>
        <w:gridCol w:w="618"/>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 Amount/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Combined Fair Value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Azorra Aviation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$266,177</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i/>
          <w:color w:val="000000"/>
          <w:sz w:val="20"/>
        </w:rPr>
      </w:pPr>
      <w:r>
        <w:rPr>
          <w:rFonts w:ascii="Arial;sans-serif" w:hAnsi="Arial;sans-serif"/>
          <w:b/>
          <w:i/>
          <w:color w:val="000000"/>
          <w:sz w:val="20"/>
        </w:rPr>
        <w:t xml:space="preserve">Net Gains (Losses) From Investment Activities of Consolidated Funds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gains (losses) from investment activities in the condensed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20" w:after="120"/>
        <w:ind w:left="0" w:right="0" w:firstLine="720"/>
        <w:jc w:val="center"/>
        <w:rPr>
          <w:rFonts w:ascii="Arial;sans-serif" w:hAnsi="Arial;sans-serif"/>
          <w:b w:val="false"/>
          <w:color w:val="000000"/>
          <w:sz w:val="20"/>
        </w:rPr>
      </w:pPr>
      <w:r>
        <w:rPr>
          <w:rFonts w:ascii="Arial;sans-serif" w:hAnsi="Arial;sans-serif"/>
          <w:b w:val="false"/>
          <w:color w:val="000000"/>
          <w:sz w:val="20"/>
        </w:rPr>
        <w:t xml:space="preserve">The following table summarizes net gains (losses) from investment activities: </w:t>
      </w:r>
    </w:p>
    <w:tbl>
      <w:tblPr>
        <w:tblW w:w="10205" w:type="dxa"/>
        <w:jc w:val="center"/>
        <w:tblInd w:w="0" w:type="dxa"/>
        <w:tblLayout w:type="fixed"/>
        <w:tblCellMar>
          <w:top w:w="28" w:type="dxa"/>
          <w:left w:w="28" w:type="dxa"/>
          <w:bottom w:w="28" w:type="dxa"/>
          <w:right w:w="28" w:type="dxa"/>
        </w:tblCellMar>
      </w:tblPr>
      <w:tblGrid>
        <w:gridCol w:w="909"/>
        <w:gridCol w:w="531"/>
        <w:gridCol w:w="535"/>
        <w:gridCol w:w="305"/>
        <w:gridCol w:w="1043"/>
        <w:gridCol w:w="157"/>
        <w:gridCol w:w="109"/>
        <w:gridCol w:w="109"/>
        <w:gridCol w:w="109"/>
        <w:gridCol w:w="384"/>
        <w:gridCol w:w="1506"/>
        <w:gridCol w:w="198"/>
        <w:gridCol w:w="109"/>
        <w:gridCol w:w="109"/>
        <w:gridCol w:w="109"/>
        <w:gridCol w:w="305"/>
        <w:gridCol w:w="1043"/>
        <w:gridCol w:w="157"/>
        <w:gridCol w:w="109"/>
        <w:gridCol w:w="109"/>
        <w:gridCol w:w="109"/>
        <w:gridCol w:w="364"/>
        <w:gridCol w:w="1514"/>
        <w:gridCol w:w="273"/>
      </w:tblGrid>
      <w:tr>
        <w:trPr/>
        <w:tc>
          <w:tcPr>
            <w:tcW w:w="9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and other financial instruments</w:t>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71,021 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38,592 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Foreign-currency forward contracts </w:t>
            </w:r>
            <w:r>
              <w:rPr>
                <w:rFonts w:ascii="Arial;sans-serif" w:hAnsi="Arial;sans-serif"/>
                <w:b w:val="false"/>
                <w:color w:val="000000"/>
                <w:sz w:val="12"/>
              </w:rPr>
              <w:t>(1)</w:t>
            </w:r>
            <w:r>
              <w:rPr>
                <w:color w:val="000000"/>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(39,021)</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Total return and interest rate swaps </w:t>
            </w:r>
            <w:r>
              <w:rPr>
                <w:rFonts w:ascii="Arial;sans-serif" w:hAnsi="Arial;sans-serif"/>
                <w:b w:val="false"/>
                <w:color w:val="000000"/>
                <w:sz w:val="12"/>
              </w:rPr>
              <w:t>(1)</w:t>
            </w:r>
            <w:r>
              <w:rPr>
                <w:color w:val="000000"/>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Options and futures </w:t>
            </w:r>
            <w:r>
              <w:rPr>
                <w:rFonts w:ascii="Arial;sans-serif" w:hAnsi="Arial;sans-serif"/>
                <w:b w:val="false"/>
                <w:color w:val="000000"/>
                <w:sz w:val="12"/>
              </w:rPr>
              <w:t>(1)</w:t>
            </w:r>
            <w:r>
              <w:rPr>
                <w:color w:val="FFFFFF"/>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Commodity swaps </w:t>
            </w:r>
            <w:r>
              <w:rPr>
                <w:rFonts w:ascii="Arial;sans-serif" w:hAnsi="Arial;sans-serif"/>
                <w:b w:val="false"/>
                <w:color w:val="000000"/>
                <w:sz w:val="12"/>
              </w:rPr>
              <w:t>(1)</w:t>
            </w:r>
            <w:r>
              <w:rPr>
                <w:color w:val="FFFFFF"/>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70,047 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38,837 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(12,495)</w:t>
            </w:r>
          </w:p>
        </w:tc>
        <w:tc>
          <w:tcPr>
            <w:tcW w:w="2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and other financial instruments</w:t>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100,476 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(77,968)</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Foreign-currency forward contracts </w:t>
            </w:r>
            <w:r>
              <w:rPr>
                <w:rFonts w:ascii="Arial;sans-serif" w:hAnsi="Arial;sans-serif"/>
                <w:b w:val="false"/>
                <w:color w:val="000000"/>
                <w:sz w:val="12"/>
              </w:rPr>
              <w:t>(1)</w:t>
            </w:r>
            <w:r>
              <w:rPr>
                <w:color w:val="000000"/>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19,246 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(64,492)</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Total return and interest rate swaps </w:t>
            </w:r>
            <w:r>
              <w:rPr>
                <w:rFonts w:ascii="Arial;sans-serif" w:hAnsi="Arial;sans-serif"/>
                <w:b w:val="false"/>
                <w:color w:val="000000"/>
                <w:sz w:val="12"/>
              </w:rPr>
              <w:t>(1)</w:t>
            </w:r>
            <w:r>
              <w:rPr>
                <w:color w:val="000000"/>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Options and futures </w:t>
            </w:r>
            <w:r>
              <w:rPr>
                <w:rFonts w:ascii="Arial;sans-serif" w:hAnsi="Arial;sans-serif"/>
                <w:b w:val="false"/>
                <w:color w:val="000000"/>
                <w:sz w:val="12"/>
              </w:rPr>
              <w:t>(1)</w:t>
            </w:r>
            <w:r>
              <w:rPr>
                <w:color w:val="FFFFFF"/>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Commodity swaps </w:t>
            </w:r>
            <w:r>
              <w:rPr>
                <w:rFonts w:ascii="Arial;sans-serif" w:hAnsi="Arial;sans-serif"/>
                <w:b w:val="false"/>
                <w:color w:val="000000"/>
                <w:sz w:val="12"/>
              </w:rPr>
              <w:t>(1)</w:t>
            </w:r>
            <w:r>
              <w:rPr>
                <w:color w:val="FFFFFF"/>
              </w:rPr>
              <w:t xml:space="preserve"> </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46,052 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120,314 </w:t>
            </w:r>
          </w:p>
        </w:tc>
        <w:tc>
          <w:tcPr>
            <w:tcW w:w="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75,137 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(140,344)</w:t>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center"/>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left"/>
        <w:rPr/>
      </w:pPr>
      <w:r>
        <w:rPr>
          <w:rFonts w:ascii="Arial;sans-serif" w:hAnsi="Arial;sans-serif"/>
          <w:b w:val="false"/>
          <w:color w:val="000000"/>
          <w:sz w:val="18"/>
        </w:rPr>
        <w:t>(1)</w:t>
      </w:r>
      <w:r>
        <w:rPr>
          <w:color w:val="000000"/>
        </w:rPr>
        <w:t>    </w:t>
      </w:r>
      <w:r>
        <w:rPr>
          <w:rFonts w:ascii="Arial;sans-serif" w:hAnsi="Arial;sans-serif"/>
          <w:b w:val="false"/>
          <w:color w:val="000000"/>
          <w:sz w:val="18"/>
        </w:rPr>
        <w:t xml:space="preserve">Please see Note 7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6. FAIR VALUE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Fair Value of Financial Assets and Liabilities </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Company’s other financial assets by fair-value hierarchy level are set forth below. There were no financial assets by fair value hierarchy level as of June 30, 2026 following the distribution of the Company's 100% equity interest in NTR on April 20, 2026. There were no other financial liabilities as of June 30, 2026 and December 31, 2025.</w:t>
      </w:r>
    </w:p>
    <w:tbl>
      <w:tblPr>
        <w:tblW w:w="10205" w:type="dxa"/>
        <w:jc w:val="center"/>
        <w:tblInd w:w="0" w:type="dxa"/>
        <w:tblLayout w:type="fixed"/>
        <w:tblCellMar>
          <w:top w:w="28" w:type="dxa"/>
          <w:left w:w="28" w:type="dxa"/>
          <w:bottom w:w="28" w:type="dxa"/>
          <w:right w:w="28" w:type="dxa"/>
        </w:tblCellMar>
      </w:tblPr>
      <w:tblGrid>
        <w:gridCol w:w="549"/>
        <w:gridCol w:w="482"/>
        <w:gridCol w:w="490"/>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6"/>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December 31, 2025</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Assets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investments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52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Fair Value of Financial Instruments Held By Consolidated Funds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 </w:t>
      </w:r>
    </w:p>
    <w:tbl>
      <w:tblPr>
        <w:tblW w:w="12298" w:type="dxa"/>
        <w:jc w:val="left"/>
        <w:tblInd w:w="0" w:type="dxa"/>
        <w:tblLayout w:type="fixed"/>
        <w:tblCellMar>
          <w:top w:w="28" w:type="dxa"/>
          <w:left w:w="28" w:type="dxa"/>
          <w:bottom w:w="28" w:type="dxa"/>
          <w:right w:w="28" w:type="dxa"/>
        </w:tblCellMar>
      </w:tblPr>
      <w:tblGrid>
        <w:gridCol w:w="597"/>
        <w:gridCol w:w="248"/>
        <w:gridCol w:w="251"/>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December 31, 2025</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Investments: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Corporate debt – bank debt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158,971 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1,668,436 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1,827,407 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116,518 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1,626,609 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1,743,127 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Corporate debt – all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247,746 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289,522 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Equities – common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190,171 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134,303 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1,810,799 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2,135,273 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1,559,531 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1,849,178 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Equities – preferred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810,291 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812,581 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776,932 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778,610 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Real estate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352,540 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Total investments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192,461 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541,020 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4,782,249 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5,515,730 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417,727 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4,395,740 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5,012,977 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Derivatives: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Foreign-currency forward contracts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7,800 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Swaps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5"/>
              </w:rPr>
              <w:t xml:space="preserve">Total derivatives </w:t>
            </w:r>
            <w:r>
              <w:rPr>
                <w:rFonts w:ascii="Arial;sans-serif" w:hAnsi="Arial;sans-serif"/>
                <w:b w:val="false"/>
                <w:color w:val="000000"/>
                <w:sz w:val="10"/>
              </w:rPr>
              <w:t>(1)</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21,202 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21,202 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9,070 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192,461 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562,222 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4,782,249 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5,536,932 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426,797 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4,395,740 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5,022,047 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Derivatives: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Foreign-currency forward contracts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(47,032)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Swaps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Options and futures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5"/>
              </w:rPr>
              <w:t xml:space="preserve">Total derivatives </w:t>
            </w:r>
            <w:r>
              <w:rPr>
                <w:rFonts w:ascii="Arial;sans-serif" w:hAnsi="Arial;sans-serif"/>
                <w:b w:val="false"/>
                <w:color w:val="000000"/>
                <w:sz w:val="10"/>
              </w:rPr>
              <w:t>(2)</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(41,030)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(41,030)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Total liabilities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(41,030)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(41,030)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Arial;sans-serif" w:hAnsi="Arial;sans-serif"/>
          <w:b w:val="false"/>
          <w:color w:val="000000"/>
          <w:sz w:val="18"/>
        </w:rPr>
      </w:pPr>
      <w:r>
        <w:rPr>
          <w:rFonts w:ascii="Arial;sans-serif" w:hAnsi="Arial;sans-serif"/>
          <w:b w:val="false"/>
          <w:color w:val="000000"/>
          <w:sz w:val="18"/>
        </w:rPr>
        <w:t>(1) Amounts are included in derivative assets under “assets of consolidated funds” in the condensed consolidated statements of financial condition.</w:t>
      </w:r>
    </w:p>
    <w:p>
      <w:pPr>
        <w:pStyle w:val="TextBody"/>
        <w:bidi w:val="0"/>
        <w:spacing w:lineRule="auto" w:line="288" w:before="0" w:after="0"/>
        <w:ind w:left="0" w:right="0" w:hanging="450"/>
        <w:jc w:val="left"/>
        <w:rPr>
          <w:rFonts w:ascii="Arial;sans-serif" w:hAnsi="Arial;sans-serif"/>
          <w:b w:val="false"/>
          <w:color w:val="000000"/>
          <w:sz w:val="18"/>
        </w:rPr>
      </w:pPr>
      <w:r>
        <w:rPr>
          <w:rFonts w:ascii="Arial;sans-serif" w:hAnsi="Arial;sans-serif"/>
          <w:b w:val="false"/>
          <w:color w:val="000000"/>
          <w:sz w:val="18"/>
        </w:rPr>
        <w:t>(2) Amounts are included in derivative liabilities under “liabilities of consolidated funds” in the condensed consolidated statements of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36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tables set forth a summary of changes in the fair value of Level III investments: </w:t>
      </w:r>
    </w:p>
    <w:tbl>
      <w:tblPr>
        <w:tblW w:w="10675" w:type="dxa"/>
        <w:jc w:val="left"/>
        <w:tblInd w:w="0" w:type="dxa"/>
        <w:tblLayout w:type="fixed"/>
        <w:tblCellMar>
          <w:top w:w="28" w:type="dxa"/>
          <w:left w:w="28" w:type="dxa"/>
          <w:bottom w:w="28" w:type="dxa"/>
          <w:right w:w="28" w:type="dxa"/>
        </w:tblCellMar>
      </w:tblPr>
      <w:tblGrid>
        <w:gridCol w:w="433"/>
        <w:gridCol w:w="197"/>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Debt – Bank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Debt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Equities –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Equities –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Three months ended June 30, 2026</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1,644,749 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4,660,391 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Transfers into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515,449 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514,930 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Transfers out of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(476,909)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(449,945)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219,377 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331,821 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(232,349)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(124,263)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(356,553)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Realized gain (losses),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44,899 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Unrealized appreciation (depreciation),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1,668,436 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123,970 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1,810,799 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810,291 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368,753 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4,782,249 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 in unrealized appreciation (depreciation) attributable to assets still held at end of period</w:t>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10,573 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(561)</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31,081 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(34,877)</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(13,813)</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(7,597)</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Three months ended June 30, 2025</w:t>
            </w:r>
          </w:p>
        </w:tc>
        <w:tc>
          <w:tcPr>
            <w:tcW w:w="1176"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1,678,670 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1,171,456 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294,977 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3,941,755 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into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791,061 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804,200 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out of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(742,114)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(755,170)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272,092 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(305,167)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(25,562)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(351,900)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Realized gain (losses),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(44,368)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(21,230)</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Unrealized appreciation (depreciation),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113,279 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1,546,171 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132,169 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1,276,658 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700,259 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330,423 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4,003,026 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change in unrealized appreciation (depreciation) attributable to assets still held at end of period</w:t>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(79,245)</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17,617 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52,792 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70,426 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34,155 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95,745 </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tbl>
      <w:tblPr>
        <w:tblW w:w="10675" w:type="dxa"/>
        <w:jc w:val="left"/>
        <w:tblInd w:w="0" w:type="dxa"/>
        <w:tblLayout w:type="fixed"/>
        <w:tblCellMar>
          <w:top w:w="28" w:type="dxa"/>
          <w:left w:w="28" w:type="dxa"/>
          <w:bottom w:w="28" w:type="dxa"/>
          <w:right w:w="28" w:type="dxa"/>
        </w:tblCellMar>
      </w:tblPr>
      <w:tblGrid>
        <w:gridCol w:w="406"/>
        <w:gridCol w:w="224"/>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Debt – Bank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Debt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Equities –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Equities –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Six months ended June 30, 2026</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1,626,609 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1,559,531 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776,932 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4,395,740 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Transfers into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557,654 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565,059 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Transfers out of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(531,796)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(570,456)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554,412 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940,247 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(441,447)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(156,628)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(641,025)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Realized gain (losses),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32,166 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Unrealized appreciation (depreciation),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(72,594)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145,173 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(27,926)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60,518 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1,668,436 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123,970 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1,810,799 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810,291 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368,753 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4,782,249 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 in unrealized appreciation (depreciation) attributable to assets still held at end of period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(74,606)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144,767 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(27,589)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58,844 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Six months ended June 30, 2025</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1,936,315 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1,187,023 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606,141 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4,062,983 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into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927,755 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948,361 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out of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(835,950)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(855,812)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932,801 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94,908 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1,293,647 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(1,349,272)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(75,965)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(87,549)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(1,541,109)</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Realized gain (losses),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Unrealized appreciation (depreciation),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1,546,171 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132,169 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1,276,658 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700,259 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330,423 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4,003,026 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change in unrealized appreciation (depreciation) attributable to assets still held at end of period</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(122,921)</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11,292 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56,374 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68,519 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40,190 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53,454 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Total realized and unrealized gains and losses recorded for Level III investments are included in net realized gain on consolidated funds’ investments or net change in unrealized appreciation (depreciation) on consolidated funds’ investments in the condensed consolidated statements of operations.</w:t>
      </w:r>
    </w:p>
    <w:p>
      <w:pPr>
        <w:pStyle w:val="TextBody"/>
        <w:bidi w:val="0"/>
        <w:spacing w:lineRule="auto" w:line="288" w:before="240" w:after="283"/>
        <w:ind w:left="0" w:right="0" w:firstLine="720"/>
        <w:jc w:val="left"/>
        <w:rPr/>
      </w:pPr>
      <w:r>
        <w:rPr>
          <w:rFonts w:ascii="Arial;sans-serif" w:hAnsi="Arial;sans-serif"/>
          <w:b w:val="false"/>
          <w:color w:val="000000"/>
          <w:sz w:val="20"/>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w:t>
      </w:r>
      <w:r>
        <w:rPr>
          <w:rFonts w:ascii="Arial;sans-serif" w:hAnsi="Arial;sans-serif"/>
          <w:b w:val="false"/>
          <w:color w:val="000000"/>
          <w:sz w:val="20"/>
          <w:shd w:fill="FFFFFF" w:val="clear"/>
        </w:rPr>
        <w:t>ok restructurings</w:t>
      </w:r>
      <w:r>
        <w:rPr>
          <w:color w:val="000000"/>
        </w:rPr>
        <w:t xml:space="preserve"> </w:t>
      </w:r>
      <w:r>
        <w:rPr>
          <w:rFonts w:ascii="Arial;sans-serif" w:hAnsi="Arial;sans-serif"/>
          <w:b w:val="false"/>
          <w:color w:val="000000"/>
          <w:sz w:val="20"/>
        </w:rPr>
        <w:t>or bankruptcy proceedings and thus were valued in the absence of observable inputs.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6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a summary of the valuation techniques and quantitative information utilized in determining the fair value of the consolidated funds’ Level III investments as of June 30, 2026:</w:t>
      </w:r>
    </w:p>
    <w:tbl>
      <w:tblPr>
        <w:tblW w:w="10205" w:type="dxa"/>
        <w:jc w:val="left"/>
        <w:tblInd w:w="0" w:type="dxa"/>
        <w:tblLayout w:type="fixed"/>
        <w:tblCellMar>
          <w:top w:w="28" w:type="dxa"/>
          <w:left w:w="28" w:type="dxa"/>
          <w:bottom w:w="28" w:type="dxa"/>
          <w:right w:w="28" w:type="dxa"/>
        </w:tblCellMar>
      </w:tblPr>
      <w:tblGrid>
        <w:gridCol w:w="708"/>
        <w:gridCol w:w="606"/>
        <w:gridCol w:w="591"/>
        <w:gridCol w:w="109"/>
        <w:gridCol w:w="109"/>
        <w:gridCol w:w="109"/>
        <w:gridCol w:w="181"/>
        <w:gridCol w:w="766"/>
        <w:gridCol w:w="109"/>
        <w:gridCol w:w="109"/>
        <w:gridCol w:w="109"/>
        <w:gridCol w:w="109"/>
        <w:gridCol w:w="554"/>
        <w:gridCol w:w="527"/>
        <w:gridCol w:w="529"/>
        <w:gridCol w:w="109"/>
        <w:gridCol w:w="109"/>
        <w:gridCol w:w="109"/>
        <w:gridCol w:w="587"/>
        <w:gridCol w:w="587"/>
        <w:gridCol w:w="589"/>
        <w:gridCol w:w="109"/>
        <w:gridCol w:w="109"/>
        <w:gridCol w:w="109"/>
        <w:gridCol w:w="301"/>
        <w:gridCol w:w="301"/>
        <w:gridCol w:w="306"/>
        <w:gridCol w:w="109"/>
        <w:gridCol w:w="109"/>
        <w:gridCol w:w="109"/>
        <w:gridCol w:w="425"/>
        <w:gridCol w:w="370"/>
        <w:gridCol w:w="533"/>
      </w:tblGrid>
      <w:tr>
        <w:trPr/>
        <w:tc>
          <w:tcPr>
            <w:tcW w:w="7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Significant Unobservable</w:t>
            </w:r>
          </w:p>
          <w:p>
            <w:pPr>
              <w:pStyle w:val="TableContents"/>
              <w:bidi w:val="0"/>
              <w:spacing w:lineRule="auto" w:line="240" w:before="0" w:after="0"/>
              <w:jc w:val="center"/>
              <w:rPr/>
            </w:pPr>
            <w:r>
              <w:rPr>
                <w:rFonts w:ascii="Arial;sans-serif" w:hAnsi="Arial;sans-serif"/>
                <w:b/>
                <w:color w:val="000000"/>
                <w:sz w:val="13"/>
              </w:rPr>
              <w:t>Inputs</w:t>
            </w:r>
            <w:r>
              <w:rPr>
                <w:color w:val="000000"/>
              </w:rPr>
              <w:t xml:space="preserve"> </w:t>
            </w:r>
            <w:r>
              <w:rPr>
                <w:rFonts w:ascii="Arial;sans-serif" w:hAnsi="Arial;sans-serif"/>
                <w:b/>
                <w:color w:val="000000"/>
                <w:sz w:val="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Weighted Average </w:t>
            </w:r>
            <w:r>
              <w:rPr>
                <w:rFonts w:ascii="Arial;sans-serif" w:hAnsi="Arial;sans-serif"/>
                <w:b/>
                <w:color w:val="000000"/>
                <w:sz w:val="8"/>
              </w:rPr>
              <w:t>(3)</w:t>
            </w:r>
          </w:p>
        </w:tc>
      </w:tr>
      <w:tr>
        <w:trPr/>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Discounted cash flow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 - 42%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Recent market information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Expected Recovery</w:t>
            </w:r>
            <w:r>
              <w:rPr>
                <w:color w:val="000000"/>
              </w:rPr>
              <w:t xml:space="preserve">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Recent transaction price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Earnings multiple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2.3x - 11.5x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7.0x</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Revenue multiple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0.8x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0.9x</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Recent transaction price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Recent market information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Discounted cash flow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11% - 22%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14%</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655"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Earnings multiple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- 16.2x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9.8x</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Revenue multiple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- 2.4x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2.4x</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1,123,516 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0.3x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0.9x</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Expected Recovery</w:t>
            </w:r>
            <w:r>
              <w:rPr>
                <w:color w:val="000000"/>
              </w:rPr>
              <w:t xml:space="preserve">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Black Scholes </w:t>
            </w:r>
            <w:r>
              <w:rPr>
                <w:rFonts w:ascii="Arial;sans-serif" w:hAnsi="Arial;sans-serif"/>
                <w:b w:val="false"/>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Discounted cash flow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 - 33%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18%</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Level III</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4,782,249 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6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a summary of the valuation techniques and quantitative information utilized in determining the fair value of the consolidated funds’ Level III investments as of December 31, 2025:</w:t>
      </w:r>
    </w:p>
    <w:tbl>
      <w:tblPr>
        <w:tblW w:w="10205" w:type="dxa"/>
        <w:jc w:val="left"/>
        <w:tblInd w:w="0" w:type="dxa"/>
        <w:tblLayout w:type="fixed"/>
        <w:tblCellMar>
          <w:top w:w="28" w:type="dxa"/>
          <w:left w:w="28" w:type="dxa"/>
          <w:bottom w:w="28" w:type="dxa"/>
          <w:right w:w="28" w:type="dxa"/>
        </w:tblCellMar>
      </w:tblPr>
      <w:tblGrid>
        <w:gridCol w:w="691"/>
        <w:gridCol w:w="530"/>
        <w:gridCol w:w="533"/>
        <w:gridCol w:w="109"/>
        <w:gridCol w:w="109"/>
        <w:gridCol w:w="109"/>
        <w:gridCol w:w="181"/>
        <w:gridCol w:w="766"/>
        <w:gridCol w:w="109"/>
        <w:gridCol w:w="109"/>
        <w:gridCol w:w="109"/>
        <w:gridCol w:w="109"/>
        <w:gridCol w:w="717"/>
        <w:gridCol w:w="676"/>
        <w:gridCol w:w="678"/>
        <w:gridCol w:w="109"/>
        <w:gridCol w:w="109"/>
        <w:gridCol w:w="109"/>
        <w:gridCol w:w="540"/>
        <w:gridCol w:w="540"/>
        <w:gridCol w:w="542"/>
        <w:gridCol w:w="109"/>
        <w:gridCol w:w="109"/>
        <w:gridCol w:w="109"/>
        <w:gridCol w:w="292"/>
        <w:gridCol w:w="292"/>
        <w:gridCol w:w="290"/>
        <w:gridCol w:w="109"/>
        <w:gridCol w:w="109"/>
        <w:gridCol w:w="109"/>
        <w:gridCol w:w="354"/>
        <w:gridCol w:w="343"/>
        <w:gridCol w:w="496"/>
      </w:tblGrid>
      <w:tr>
        <w:trPr/>
        <w:tc>
          <w:tcPr>
            <w:tcW w:w="69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Significant Unobservable</w:t>
            </w:r>
          </w:p>
          <w:p>
            <w:pPr>
              <w:pStyle w:val="TableContents"/>
              <w:bidi w:val="0"/>
              <w:spacing w:lineRule="auto" w:line="240" w:before="0" w:after="0"/>
              <w:jc w:val="center"/>
              <w:rPr/>
            </w:pPr>
            <w:r>
              <w:rPr>
                <w:rFonts w:ascii="Arial;sans-serif" w:hAnsi="Arial;sans-serif"/>
                <w:b/>
                <w:color w:val="000000"/>
                <w:sz w:val="13"/>
              </w:rPr>
              <w:t>Inputs</w:t>
            </w:r>
            <w:r>
              <w:rPr>
                <w:color w:val="000000"/>
              </w:rPr>
              <w:t xml:space="preserve"> </w:t>
            </w:r>
            <w:r>
              <w:rPr>
                <w:rFonts w:ascii="Arial;sans-serif" w:hAnsi="Arial;sans-serif"/>
                <w:b/>
                <w:color w:val="000000"/>
                <w:sz w:val="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Weighted Average </w:t>
            </w:r>
            <w:r>
              <w:rPr>
                <w:rFonts w:ascii="Arial;sans-serif" w:hAnsi="Arial;sans-serif"/>
                <w:b/>
                <w:color w:val="000000"/>
                <w:sz w:val="8"/>
              </w:rPr>
              <w:t>(3)</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Credit-oriented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5% – 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transaction price</w:t>
            </w:r>
            <w:r>
              <w:rPr>
                <w:color w:val="000000"/>
              </w:rPr>
              <w:t xml:space="preserv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Expected Recovery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Earnings multiple</w:t>
            </w:r>
            <w:r>
              <w:rPr>
                <w:color w:val="000000"/>
              </w:rPr>
              <w:t xml:space="preserv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2.5x - 9.8x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8.5x</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Revenue multiple</w:t>
            </w:r>
            <w:r>
              <w:rPr>
                <w:color w:val="000000"/>
              </w:rPr>
              <w:t xml:space="preserv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0.9x - 1.6x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1.2x</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transaction price</w:t>
            </w:r>
            <w:r>
              <w:rPr>
                <w:color w:val="000000"/>
              </w:rPr>
              <w:t xml:space="preserv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819,606 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Earnings multiple</w:t>
            </w:r>
            <w:r>
              <w:rPr>
                <w:color w:val="000000"/>
              </w:rPr>
              <w:t xml:space="preserv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3.7x - 15.1x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8.9x</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Revenue multiple</w:t>
            </w:r>
            <w:r>
              <w:rPr>
                <w:color w:val="000000"/>
              </w:rPr>
              <w:t xml:space="preserv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2.1x - 2.1x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2.1x</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11%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14%</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520"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Expected Recovery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Black Scholes </w:t>
            </w:r>
            <w:r>
              <w:rPr>
                <w:rFonts w:ascii="Arial;sans-serif" w:hAnsi="Arial;sans-serif"/>
                <w:b w:val="false"/>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 –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18%</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Level III</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4,395,740 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pPr>
      <w:r>
        <w:rPr>
          <w:rFonts w:ascii="Arial;sans-serif" w:hAnsi="Arial;sans-serif"/>
          <w:b w:val="false"/>
          <w:color w:val="000000"/>
          <w:sz w:val="15"/>
        </w:rPr>
        <w:t>(1)</w:t>
      </w:r>
      <w:r>
        <w:rPr>
          <w:color w:val="000000"/>
        </w:rPr>
        <w:t>    </w:t>
      </w:r>
      <w:r>
        <w:rPr>
          <w:rFonts w:ascii="Arial;sans-serif" w:hAnsi="Arial;sans-serif"/>
          <w:b w:val="false"/>
          <w:color w:val="000000"/>
          <w:sz w:val="15"/>
        </w:rPr>
        <w:t xml:space="preserve">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 </w:t>
      </w:r>
    </w:p>
    <w:p>
      <w:pPr>
        <w:pStyle w:val="TextBody"/>
        <w:bidi w:val="0"/>
        <w:spacing w:lineRule="auto" w:line="288" w:before="0" w:after="0"/>
        <w:ind w:left="0" w:right="0" w:hanging="450"/>
        <w:jc w:val="left"/>
        <w:rPr/>
      </w:pPr>
      <w:r>
        <w:rPr>
          <w:rFonts w:ascii="Arial;sans-serif" w:hAnsi="Arial;sans-serif"/>
          <w:b w:val="false"/>
          <w:color w:val="000000"/>
          <w:sz w:val="15"/>
        </w:rPr>
        <w:t>(2)</w:t>
      </w:r>
      <w:r>
        <w:rPr>
          <w:color w:val="000000"/>
        </w:rPr>
        <w:t>    </w:t>
      </w:r>
      <w:r>
        <w:rPr>
          <w:rFonts w:ascii="Arial;sans-serif" w:hAnsi="Arial;sans-serif"/>
          <w:b w:val="false"/>
          <w:color w:val="000000"/>
          <w:sz w:val="15"/>
        </w:rPr>
        <w:t xml:space="preserve">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 </w:t>
      </w:r>
    </w:p>
    <w:p>
      <w:pPr>
        <w:pStyle w:val="TextBody"/>
        <w:bidi w:val="0"/>
        <w:spacing w:lineRule="auto" w:line="288" w:before="0" w:after="0"/>
        <w:ind w:left="0" w:right="0" w:hanging="450"/>
        <w:jc w:val="left"/>
        <w:rPr/>
      </w:pPr>
      <w:r>
        <w:rPr>
          <w:rFonts w:ascii="Arial;sans-serif" w:hAnsi="Arial;sans-serif"/>
          <w:b w:val="false"/>
          <w:color w:val="000000"/>
          <w:sz w:val="15"/>
        </w:rPr>
        <w:t>(3)</w:t>
      </w:r>
      <w:r>
        <w:rPr>
          <w:color w:val="000000"/>
        </w:rPr>
        <w:t>    </w:t>
      </w:r>
      <w:r>
        <w:rPr>
          <w:rFonts w:ascii="Arial;sans-serif" w:hAnsi="Arial;sans-serif"/>
          <w:b w:val="false"/>
          <w:color w:val="000000"/>
          <w:sz w:val="15"/>
        </w:rPr>
        <w:t>The weighted average is based on the fair value of the investments included in the range.</w:t>
      </w:r>
    </w:p>
    <w:p>
      <w:pPr>
        <w:pStyle w:val="TextBody"/>
        <w:bidi w:val="0"/>
        <w:spacing w:lineRule="auto" w:line="268" w:before="0" w:after="0"/>
        <w:ind w:left="0" w:right="0" w:hanging="450"/>
        <w:jc w:val="left"/>
        <w:rPr/>
      </w:pPr>
      <w:r>
        <w:rPr>
          <w:rFonts w:ascii="Arial;sans-serif" w:hAnsi="Arial;sans-serif"/>
          <w:b w:val="false"/>
          <w:color w:val="000000"/>
          <w:sz w:val="15"/>
        </w:rPr>
        <w:t>(4)</w:t>
      </w:r>
      <w:r>
        <w:rPr>
          <w:color w:val="000000"/>
        </w:rPr>
        <w:t>    </w:t>
      </w:r>
      <w:r>
        <w:rPr>
          <w:rFonts w:ascii="Arial;sans-serif" w:hAnsi="Arial;sans-serif"/>
          <w:b w:val="false"/>
          <w:color w:val="000000"/>
          <w:sz w:val="15"/>
        </w:rPr>
        <w:t xml:space="preserve">Certain investments are valued based on recent transactions, generally defined as investments purchased or sold within six months of the valuation date. The fair value may also be based on a pending transaction expected to close after the valuation date. </w:t>
      </w:r>
    </w:p>
    <w:p>
      <w:pPr>
        <w:pStyle w:val="TextBody"/>
        <w:bidi w:val="0"/>
        <w:spacing w:lineRule="auto" w:line="268" w:before="0" w:after="0"/>
        <w:ind w:left="0" w:right="0" w:hanging="450"/>
        <w:jc w:val="left"/>
        <w:rPr/>
      </w:pPr>
      <w:r>
        <w:rPr>
          <w:rFonts w:ascii="Arial;sans-serif" w:hAnsi="Arial;sans-serif"/>
          <w:b w:val="false"/>
          <w:color w:val="000000"/>
          <w:sz w:val="15"/>
        </w:rPr>
        <w:t>(5)</w:t>
      </w:r>
      <w:r>
        <w:rPr>
          <w:color w:val="000000"/>
        </w:rPr>
        <w:t>    </w:t>
      </w:r>
      <w:r>
        <w:rPr>
          <w:rFonts w:ascii="Arial;sans-serif" w:hAnsi="Arial;sans-serif"/>
          <w:b w:val="false"/>
          <w:color w:val="000000"/>
          <w:sz w:val="15"/>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pStyle w:val="TextBody"/>
        <w:bidi w:val="0"/>
        <w:spacing w:lineRule="auto" w:line="268" w:before="0" w:after="0"/>
        <w:ind w:left="0" w:right="0" w:hanging="450"/>
        <w:jc w:val="left"/>
        <w:rPr/>
      </w:pPr>
      <w:r>
        <w:rPr>
          <w:rFonts w:ascii="Arial;sans-serif" w:hAnsi="Arial;sans-serif"/>
          <w:b w:val="false"/>
          <w:color w:val="000000"/>
          <w:sz w:val="15"/>
        </w:rPr>
        <w:t>(6)</w:t>
      </w:r>
      <w:r>
        <w:rPr>
          <w:color w:val="000000"/>
        </w:rPr>
        <w:t>    </w:t>
      </w:r>
      <w:r>
        <w:rPr>
          <w:rFonts w:ascii="Arial;sans-serif" w:hAnsi="Arial;sans-serif"/>
          <w:b w:val="false"/>
          <w:color w:val="000000"/>
          <w:sz w:val="15"/>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(7)    A market approach is generally used to value distressed investments and investments in which the consolidated funds have a controlling interest in the underlying.</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(8)    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 </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(9)    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(10)    Earnings multiples are based on comparable public companies and transactions with comparable companies. The Company typically utilizes multiples of EBITDA; however, in certain cases the Company may use other earnings multiples believed to be most relevant to the investment.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Company typically applies the multiple to trailing twelve-months’ EBITDA. However, in certain cases other earnings measures, such as pro forma EBITDA, may be utilized if deemed to be more relevant.</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(11) Certain investments are valued based on expected recovery, generally representing the estimated value that can be recovered in the event of liquidation or winding down.</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(12) The fair value of options/warrants is estimated using the Black-Scholes-Merton valuation model. The Company uses the following methods to determine the underlying assumptions: expected volatilities are based on the historical and implied volatilities of comparable companies or the subject company if the subject company is publicly traded; expected term is based on the shorter of the expected hold period for the option or the contractual term; and the risk-free rate is based on the yields on U.S. Treasury bills or bonds issued with similar terms to the expected term of the option.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2026, the valuation techniques for two credit-oriented investments were changed from discounted cash flow to market approach (comparable companies), one credit-oriented investment was changed from discounted cash flow to recent market information, one credit-oriented investment was changed from market approach (comparable companies) to recent transaction price, one credit-oriented investment was changed from market approach (value of underlying assets) to expected recovery, one credit-oriented investment was changed from market approach (value of underlying assets) to discounted cash flow, and one credit-oriented investment was changed from expected recovery to discounted cash flow. During the six months ended June 30, 2025, the valuation techniques for three credit-oriented investments were changed from recent market information to discounted cash flow, two credit-oriented investment were changed from discounted cash flow to market approach (comparable companies), and one credit-oriented investment was changed from discounted cash flow to expected recovery.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7. DERIVATIVES AND HEDGING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Derivatives Held By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derivatives held by the consolidated funds consisted of the following:</w:t>
      </w:r>
    </w:p>
    <w:tbl>
      <w:tblPr>
        <w:tblW w:w="10169" w:type="dxa"/>
        <w:jc w:val="left"/>
        <w:tblInd w:w="0" w:type="dxa"/>
        <w:tblLayout w:type="fixed"/>
        <w:tblCellMar>
          <w:top w:w="28" w:type="dxa"/>
          <w:left w:w="28" w:type="dxa"/>
          <w:bottom w:w="28" w:type="dxa"/>
          <w:right w:w="28" w:type="dxa"/>
        </w:tblCellMar>
      </w:tblPr>
      <w:tblGrid>
        <w:gridCol w:w="1618"/>
        <w:gridCol w:w="1417"/>
        <w:gridCol w:w="1434"/>
        <w:gridCol w:w="211"/>
        <w:gridCol w:w="976"/>
        <w:gridCol w:w="109"/>
        <w:gridCol w:w="109"/>
        <w:gridCol w:w="109"/>
        <w:gridCol w:w="109"/>
        <w:gridCol w:w="211"/>
        <w:gridCol w:w="721"/>
        <w:gridCol w:w="109"/>
        <w:gridCol w:w="109"/>
        <w:gridCol w:w="109"/>
        <w:gridCol w:w="109"/>
        <w:gridCol w:w="211"/>
        <w:gridCol w:w="901"/>
        <w:gridCol w:w="109"/>
        <w:gridCol w:w="109"/>
        <w:gridCol w:w="109"/>
        <w:gridCol w:w="109"/>
        <w:gridCol w:w="211"/>
        <w:gridCol w:w="79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Liabilities</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As of June 30, 2026</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1,244,855 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(41,030)</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As of December 31,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1,348,731 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(238,360)</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(48,893)</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impact of derivatives held by the consolidated funds in the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803"/>
        <w:gridCol w:w="705"/>
        <w:gridCol w:w="708"/>
        <w:gridCol w:w="310"/>
        <w:gridCol w:w="976"/>
        <w:gridCol w:w="160"/>
        <w:gridCol w:w="109"/>
        <w:gridCol w:w="109"/>
        <w:gridCol w:w="109"/>
        <w:gridCol w:w="410"/>
        <w:gridCol w:w="1404"/>
        <w:gridCol w:w="212"/>
        <w:gridCol w:w="109"/>
        <w:gridCol w:w="109"/>
        <w:gridCol w:w="109"/>
        <w:gridCol w:w="310"/>
        <w:gridCol w:w="976"/>
        <w:gridCol w:w="160"/>
        <w:gridCol w:w="109"/>
        <w:gridCol w:w="109"/>
        <w:gridCol w:w="109"/>
        <w:gridCol w:w="386"/>
        <w:gridCol w:w="1415"/>
        <w:gridCol w:w="289"/>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(39,021)</w:t>
            </w:r>
          </w:p>
        </w:tc>
        <w:tc>
          <w:tcPr>
            <w:tcW w:w="2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swaps</w:t>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(35,741)</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19,246 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(64,492)</w:t>
            </w:r>
          </w:p>
        </w:tc>
        <w:tc>
          <w:tcPr>
            <w:tcW w:w="2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swaps</w:t>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19,838 </w:t>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3,823 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(62,376)</w:t>
            </w:r>
          </w:p>
        </w:tc>
        <w:tc>
          <w:tcPr>
            <w:tcW w:w="2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Arial;sans-serif" w:hAnsi="Arial;sans-serif"/>
          <w:b/>
          <w:color w:val="000000"/>
          <w:sz w:val="20"/>
        </w:rPr>
      </w:pPr>
      <w:r>
        <w:rPr>
          <w:rFonts w:ascii="Arial;sans-serif" w:hAnsi="Arial;sans-serif"/>
          <w:b/>
          <w:color w:val="000000"/>
          <w:sz w:val="20"/>
        </w:rPr>
        <w:t>Balance Sheet Offsetting</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 recognizes all derivatives as assets or liabilities at fair value in its condensed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condensed consolidated statements of financial condition even though they are eligible to be offset in accordance with applicable accounting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tbl>
      <w:tblPr>
        <w:tblW w:w="10205" w:type="dxa"/>
        <w:jc w:val="left"/>
        <w:tblInd w:w="0" w:type="dxa"/>
        <w:tblLayout w:type="fixed"/>
        <w:tblCellMar>
          <w:top w:w="28" w:type="dxa"/>
          <w:left w:w="28" w:type="dxa"/>
          <w:bottom w:w="28" w:type="dxa"/>
          <w:right w:w="28" w:type="dxa"/>
        </w:tblCellMar>
      </w:tblPr>
      <w:tblGrid>
        <w:gridCol w:w="1121"/>
        <w:gridCol w:w="845"/>
        <w:gridCol w:w="752"/>
        <w:gridCol w:w="418"/>
        <w:gridCol w:w="1511"/>
        <w:gridCol w:w="232"/>
        <w:gridCol w:w="109"/>
        <w:gridCol w:w="109"/>
        <w:gridCol w:w="109"/>
        <w:gridCol w:w="428"/>
        <w:gridCol w:w="806"/>
        <w:gridCol w:w="216"/>
        <w:gridCol w:w="188"/>
        <w:gridCol w:w="188"/>
        <w:gridCol w:w="188"/>
        <w:gridCol w:w="451"/>
        <w:gridCol w:w="911"/>
        <w:gridCol w:w="244"/>
        <w:gridCol w:w="109"/>
        <w:gridCol w:w="109"/>
        <w:gridCol w:w="109"/>
        <w:gridCol w:w="196"/>
        <w:gridCol w:w="692"/>
        <w:gridCol w:w="164"/>
      </w:tblGrid>
      <w:tr>
        <w:trPr/>
        <w:tc>
          <w:tcPr>
            <w:tcW w:w="112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Assets (Liabilities)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Not Offset in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As of June 30, 2026</w:t>
            </w:r>
          </w:p>
        </w:tc>
        <w:tc>
          <w:tcPr>
            <w:tcW w:w="2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Derivative Assets (Liabilities)</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Cash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Assets:</w:t>
            </w:r>
          </w:p>
        </w:tc>
        <w:tc>
          <w:tcPr>
            <w:tcW w:w="2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assets of consolidated funds:</w:t>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19,190 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Total-return and interest-rate and credit default swaps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Options and futures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21,202 </w:t>
            </w:r>
          </w:p>
        </w:tc>
        <w:tc>
          <w:tcPr>
            <w:tcW w:w="2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21,202 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Liabilities:</w:t>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liabilities of consolidated funds:</w:t>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(39,176)</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(39,176)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Total-return and interest-rate and credit default swaps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(1,548)</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Options and futures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(41,030)</w:t>
            </w:r>
          </w:p>
        </w:tc>
        <w:tc>
          <w:tcPr>
            <w:tcW w:w="2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(41,030)</w:t>
            </w:r>
          </w:p>
        </w:tc>
        <w:tc>
          <w:tcPr>
            <w:tcW w:w="1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6"/>
        <w:gridCol w:w="788"/>
        <w:gridCol w:w="792"/>
        <w:gridCol w:w="414"/>
        <w:gridCol w:w="1495"/>
        <w:gridCol w:w="230"/>
        <w:gridCol w:w="109"/>
        <w:gridCol w:w="109"/>
        <w:gridCol w:w="109"/>
        <w:gridCol w:w="425"/>
        <w:gridCol w:w="798"/>
        <w:gridCol w:w="214"/>
        <w:gridCol w:w="187"/>
        <w:gridCol w:w="187"/>
        <w:gridCol w:w="187"/>
        <w:gridCol w:w="446"/>
        <w:gridCol w:w="901"/>
        <w:gridCol w:w="241"/>
        <w:gridCol w:w="109"/>
        <w:gridCol w:w="109"/>
        <w:gridCol w:w="109"/>
        <w:gridCol w:w="196"/>
        <w:gridCol w:w="692"/>
        <w:gridCol w:w="162"/>
      </w:tblGrid>
      <w:tr>
        <w:trPr/>
        <w:tc>
          <w:tcPr>
            <w:tcW w:w="1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Assets (Liabilities)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Not Offset in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As of December 31, 2025</w:t>
            </w:r>
          </w:p>
        </w:tc>
        <w:tc>
          <w:tcPr>
            <w:tcW w:w="2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Derivative Assets (Liabilities)</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Cash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Assets:</w:t>
            </w:r>
          </w:p>
        </w:tc>
        <w:tc>
          <w:tcPr>
            <w:tcW w:w="2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assets of consolidated funds:</w:t>
            </w:r>
          </w:p>
        </w:tc>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Total-return and interest-rate and credit default swaps</w:t>
            </w:r>
          </w:p>
        </w:tc>
        <w:tc>
          <w:tcPr>
            <w:tcW w:w="1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9,070 </w:t>
            </w:r>
          </w:p>
        </w:tc>
        <w:tc>
          <w:tcPr>
            <w:tcW w:w="2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9,070 </w:t>
            </w:r>
          </w:p>
        </w:tc>
        <w:tc>
          <w:tcPr>
            <w:tcW w:w="16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Liabilities:</w:t>
            </w:r>
          </w:p>
        </w:tc>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liabilities of consolidated funds:</w:t>
            </w:r>
          </w:p>
        </w:tc>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(47,032)</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Options and futures</w:t>
            </w:r>
          </w:p>
        </w:tc>
        <w:tc>
          <w:tcPr>
            <w:tcW w:w="1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(48,893)</w:t>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(48,893)</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8. DEBT OBLIGATIONS AND CREDIT FACILITIES </w:t>
      </w:r>
    </w:p>
    <w:p>
      <w:pPr>
        <w:pStyle w:val="TextBody"/>
        <w:bidi w:val="0"/>
        <w:spacing w:lineRule="auto" w:line="268" w:before="180" w:after="283"/>
        <w:jc w:val="left"/>
        <w:rPr>
          <w:rFonts w:ascii="Arial;sans-serif" w:hAnsi="Arial;sans-serif"/>
          <w:b/>
          <w:color w:val="000000"/>
          <w:sz w:val="20"/>
        </w:rPr>
      </w:pPr>
      <w:r>
        <w:rPr>
          <w:rFonts w:ascii="Arial;sans-serif" w:hAnsi="Arial;sans-serif"/>
          <w:b/>
          <w:color w:val="000000"/>
          <w:sz w:val="20"/>
        </w:rPr>
        <w:t>Debt Obligations of the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had the following debt obligations outstanding:</w:t>
      </w:r>
    </w:p>
    <w:tbl>
      <w:tblPr>
        <w:tblW w:w="10205" w:type="dxa"/>
        <w:jc w:val="left"/>
        <w:tblInd w:w="0" w:type="dxa"/>
        <w:tblLayout w:type="fixed"/>
        <w:tblCellMar>
          <w:top w:w="28" w:type="dxa"/>
          <w:left w:w="28" w:type="dxa"/>
          <w:bottom w:w="28" w:type="dxa"/>
          <w:right w:w="28" w:type="dxa"/>
        </w:tblCellMar>
      </w:tblPr>
      <w:tblGrid>
        <w:gridCol w:w="481"/>
        <w:gridCol w:w="335"/>
        <w:gridCol w:w="336"/>
        <w:gridCol w:w="196"/>
        <w:gridCol w:w="871"/>
        <w:gridCol w:w="109"/>
        <w:gridCol w:w="109"/>
        <w:gridCol w:w="109"/>
        <w:gridCol w:w="109"/>
        <w:gridCol w:w="200"/>
        <w:gridCol w:w="891"/>
        <w:gridCol w:w="111"/>
        <w:gridCol w:w="109"/>
        <w:gridCol w:w="109"/>
        <w:gridCol w:w="109"/>
        <w:gridCol w:w="196"/>
        <w:gridCol w:w="872"/>
        <w:gridCol w:w="109"/>
        <w:gridCol w:w="109"/>
        <w:gridCol w:w="109"/>
        <w:gridCol w:w="109"/>
        <w:gridCol w:w="274"/>
        <w:gridCol w:w="274"/>
        <w:gridCol w:w="275"/>
        <w:gridCol w:w="109"/>
        <w:gridCol w:w="109"/>
        <w:gridCol w:w="109"/>
        <w:gridCol w:w="397"/>
        <w:gridCol w:w="397"/>
        <w:gridCol w:w="399"/>
        <w:gridCol w:w="109"/>
        <w:gridCol w:w="109"/>
        <w:gridCol w:w="109"/>
        <w:gridCol w:w="339"/>
        <w:gridCol w:w="339"/>
        <w:gridCol w:w="340"/>
        <w:gridCol w:w="109"/>
        <w:gridCol w:w="109"/>
        <w:gridCol w:w="109"/>
        <w:gridCol w:w="184"/>
        <w:gridCol w:w="135"/>
        <w:gridCol w:w="183"/>
      </w:tblGrid>
      <w:tr>
        <w:trPr/>
        <w:tc>
          <w:tcPr>
            <w:tcW w:w="4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Outstanding Amount as of</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Key terms as of June 30, 2026</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u w:val="single"/>
              </w:rPr>
            </w:pPr>
            <w:r>
              <w:rPr>
                <w:rFonts w:ascii="Arial;sans-serif" w:hAnsi="Arial;sans-serif"/>
                <w:b/>
                <w:color w:val="000000"/>
                <w:sz w:val="13"/>
                <w:u w:val="single"/>
              </w:rPr>
              <w:t>Credit Agreement</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December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Facility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Weighted Average Remaining Maturity (years) </w:t>
            </w:r>
            <w:r>
              <w:rPr>
                <w:rFonts w:ascii="Arial;sans-serif" w:hAnsi="Arial;sans-serif"/>
                <w:b/>
                <w:color w:val="000000"/>
                <w:sz w:val="8"/>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Commitment Fee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L/C Fee</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Revolving credit facilities</w:t>
            </w:r>
            <w:r>
              <w:rPr>
                <w:color w:val="000000"/>
              </w:rPr>
              <w:t xml:space="preserve"> </w:t>
            </w:r>
            <w:r>
              <w:rPr>
                <w:rFonts w:ascii="Arial;sans-serif" w:hAnsi="Arial;sans-serif"/>
                <w:b w:val="false"/>
                <w:color w:val="000000"/>
                <w:sz w:val="10"/>
              </w:rPr>
              <w:t>(1)</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1,500,383 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1,320,795 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1,766,359 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1.69%</w:t>
            </w:r>
          </w:p>
        </w:tc>
      </w:tr>
      <w:tr>
        <w:trPr/>
        <w:tc>
          <w:tcPr>
            <w:tcW w:w="115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r>
      <w:tr>
        <w:trPr/>
        <w:tc>
          <w:tcPr>
            <w:tcW w:w="115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Debt issuance costs </w:t>
            </w:r>
            <w:r>
              <w:rPr>
                <w:rFonts w:ascii="Arial;sans-serif" w:hAnsi="Arial;sans-serif"/>
                <w:b w:val="false"/>
                <w:color w:val="000000"/>
                <w:sz w:val="10"/>
              </w:rPr>
              <w:t>(2)</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obligations, net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1,497,138 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1,318,129 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(1)    The credit facility capacity is calculated on a pro rata basis using fund commitments as of June 30, 2026.</w:t>
      </w:r>
    </w:p>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(2)    Debt issuance costs are included in other assets as of June 30, 2026 and December 31, 2025.</w:t>
      </w:r>
    </w:p>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(3)     The credit facility of one consolidated fund, which was scheduled to mature shortly after June 30, 2026, was subsequently renewed through July 30, 2027.</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NON-CONTROLLING REDEEMABLE INTERESTS IN CONSOLIDATED FUNDS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tbl>
      <w:tblPr>
        <w:tblW w:w="4629" w:type="dxa"/>
        <w:jc w:val="left"/>
        <w:tblInd w:w="0" w:type="dxa"/>
        <w:tblLayout w:type="fixed"/>
        <w:tblCellMar>
          <w:top w:w="28" w:type="dxa"/>
          <w:left w:w="28" w:type="dxa"/>
          <w:bottom w:w="28" w:type="dxa"/>
          <w:right w:w="28" w:type="dxa"/>
        </w:tblCellMar>
      </w:tblPr>
      <w:tblGrid>
        <w:gridCol w:w="603"/>
        <w:gridCol w:w="530"/>
        <w:gridCol w:w="532"/>
        <w:gridCol w:w="211"/>
        <w:gridCol w:w="976"/>
        <w:gridCol w:w="109"/>
        <w:gridCol w:w="109"/>
        <w:gridCol w:w="109"/>
        <w:gridCol w:w="109"/>
        <w:gridCol w:w="211"/>
        <w:gridCol w:w="97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3,071,611 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3,303,107 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3,104,539 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10. UNITHOLDERS’ CAPITAL</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Brookfield Oaktree Holdings, LLC and the holding companies through which the Company holds interests in Oaktree Capital I, are solely attributable to the Class A unitholders.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June 30, 2026 and December 31, 2025, OCGH units represented 41,558,979 of the total 160,391,299 Oaktree Operating Group units and 41,758,979 of the total 160,591,299 Oaktree Operating Group units, respectively. </w:t>
      </w:r>
    </w:p>
    <w:p>
      <w:pPr>
        <w:pStyle w:val="TextBody"/>
        <w:bidi w:val="0"/>
        <w:spacing w:lineRule="auto" w:line="288" w:before="240" w:after="180"/>
        <w:jc w:val="left"/>
        <w:rPr>
          <w:rFonts w:ascii="Arial;sans-serif" w:hAnsi="Arial;sans-serif"/>
          <w:b/>
          <w:color w:val="000000"/>
          <w:sz w:val="20"/>
        </w:rPr>
      </w:pPr>
      <w:r>
        <w:rPr>
          <w:rFonts w:ascii="Arial;sans-serif" w:hAnsi="Arial;sans-serif"/>
          <w:b/>
          <w:color w:val="000000"/>
          <w:sz w:val="20"/>
        </w:rPr>
        <w:t>Preferred Unit Issuances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May 17, 2018, the Company issued 7,200,000 of its 6.625% Series A preferred units representing limited liability company interests with a liquidation preference of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August 9, 2018, the Company issued 9,400,000 of its 6.550% Series B preferred units representing limited liability company interests with a liquidation preference of $25.00 per unit. The issuance resulted in $226.9 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may redeem, at its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pStyle w:val="TextBody"/>
        <w:bidi w:val="0"/>
        <w:spacing w:lineRule="auto" w:line="28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Please see Notes 9 and 14 for additional information regarding transactions that impacted unitholders’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11. EARNINGS PER UNIT</w:t>
      </w:r>
    </w:p>
    <w:p>
      <w:pPr>
        <w:pStyle w:val="TextBody"/>
        <w:bidi w:val="0"/>
        <w:spacing w:lineRule="auto" w:line="288" w:before="90" w:after="180"/>
        <w:ind w:left="0" w:right="0" w:firstLine="720"/>
        <w:jc w:val="left"/>
        <w:rPr/>
      </w:pPr>
      <w:r>
        <w:rPr>
          <w:rFonts w:ascii="Arial;sans-serif" w:hAnsi="Arial;sans-serif"/>
          <w:b w:val="false"/>
          <w:color w:val="000000"/>
          <w:sz w:val="20"/>
        </w:rPr>
        <w:t xml:space="preserve">The computation of net income per Class A unit is set forth below: </w:t>
      </w:r>
      <w:r>
        <w:rPr>
          <w:color w:val="000000"/>
        </w:rPr>
        <w:t> </w:t>
      </w:r>
    </w:p>
    <w:tbl>
      <w:tblPr>
        <w:tblW w:w="10205" w:type="dxa"/>
        <w:jc w:val="left"/>
        <w:tblInd w:w="0" w:type="dxa"/>
        <w:tblLayout w:type="fixed"/>
        <w:tblCellMar>
          <w:top w:w="28" w:type="dxa"/>
          <w:left w:w="28" w:type="dxa"/>
          <w:bottom w:w="28" w:type="dxa"/>
          <w:right w:w="28" w:type="dxa"/>
        </w:tblCellMar>
      </w:tblPr>
      <w:tblGrid>
        <w:gridCol w:w="1872"/>
        <w:gridCol w:w="1620"/>
        <w:gridCol w:w="162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6"/>
      </w:tblGrid>
      <w:tr>
        <w:trPr/>
        <w:tc>
          <w:tcPr>
            <w:tcW w:w="187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 except per unit amounts)</w:t>
            </w:r>
          </w:p>
        </w:tc>
      </w:tr>
      <w:tr>
        <w:trPr/>
        <w:tc>
          <w:tcPr>
            <w:tcW w:w="5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per Class A unit (basic and diluted):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BOH Class A unitholders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Class A units outstanding (basic and diluted)</w:t>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118,670 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117,528 </w:t>
            </w:r>
          </w:p>
        </w:tc>
        <w:tc>
          <w:tcPr>
            <w:tcW w:w="15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Basic and diluted net income (net of tax) per Class A unit</w:t>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OCGH units are not exchangeable into Class A units. As the restrictions set forth in the then-current exchange agreement were in place for each applicable reporting period, OCGH units were not included in the computation of diluted earnings per unit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12. INCOME TAXES AND RELATED PAYMENTS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files its tax returns as prescribed by the tax laws of the jurisdictions in which it operates. In the normal course of business, the Company is subject to examination by the relevant tax authorities. With limited exceptions, the Company is no longer subject to income tax audits by taxing authorities for periods before 2023. The Company believes that it has adequately provided for any reasonably foreseeable outcomes related to its tax examinations and that any settlements related thereto will not have a material adverse effect on the Company’s condensed consolidated financial statements; however, there can be no assurances as to the ultimate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13. COMMITMENTS AND CONTINGENCIES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Legal Actions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The Company and Oaktree are currently not subject to any pending actions or regulatory proceedings that either individually or in the aggregate are expected to have a material impact on the Company’s condensed consolidated financial statements.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Commitments to Funds </w:t>
      </w:r>
    </w:p>
    <w:p>
      <w:pPr>
        <w:pStyle w:val="TextBody"/>
        <w:bidi w:val="0"/>
        <w:spacing w:lineRule="auto" w:line="26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and December 31, 2025, the Company had undrawn capital commitments of $112.5 million in its capacity as a limited partner in Opps XI. As of June 30, 2026 and December 31, 2025, the Company had undrawn commitments of $517.5 million and $577.3 million, respectively, in its capacity as a limited partner in Opps XII (Opps XI and Opps XII as defined in Note 14).</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Investment Commitments of the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condensed consolidated statements of financial condition. The unfunded liability associated with these credit arrangements is equal to the amount by which the contractual loan commitment exceeds the sum of funded debt and cash held in escrow, if any. As of June 30, 2026 and December 31, 2025, the consolidated funds had total outstanding unfunded debt commitments of $157.4 million and $263.2 million respectively. As of June 30, 2026 and December 31, 2025, the consolidated funds had potential unfunded investment commitments of $359.6 million and $378.8 million respectively.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 consolidated fund may agree to guarantee the repayment obligations of certain investee companies. As of June 30, 2026 and December 31, 2025, there were no guaranteed amounts under such arrangements.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are investment companies that are required to disclose financial support provided or contractually required to be provided to any of their portfolio companies. During the six months ended June 30, 2026 and 2025, the consolidated funds did not provide any financial support to investees pursuant to contractual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14. RELATED-PARTY TRANSACTIONS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 considers its executive officers, employees, if any,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and to affiliates approximated fair value due to their short-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term nature or because their weighted average interest rate approximated the Company’s cost of debt.</w:t>
      </w:r>
    </w:p>
    <w:tbl>
      <w:tblPr>
        <w:tblW w:w="7121" w:type="dxa"/>
        <w:jc w:val="left"/>
        <w:tblInd w:w="0" w:type="dxa"/>
        <w:tblLayout w:type="fixed"/>
        <w:tblCellMar>
          <w:top w:w="28" w:type="dxa"/>
          <w:left w:w="28" w:type="dxa"/>
          <w:bottom w:w="28" w:type="dxa"/>
          <w:right w:w="28" w:type="dxa"/>
        </w:tblCellMar>
      </w:tblPr>
      <w:tblGrid>
        <w:gridCol w:w="1600"/>
        <w:gridCol w:w="1405"/>
        <w:gridCol w:w="1419"/>
        <w:gridCol w:w="266"/>
        <w:gridCol w:w="587"/>
        <w:gridCol w:w="137"/>
        <w:gridCol w:w="109"/>
        <w:gridCol w:w="109"/>
        <w:gridCol w:w="109"/>
        <w:gridCol w:w="350"/>
        <w:gridCol w:w="773"/>
        <w:gridCol w:w="257"/>
      </w:tblGrid>
      <w:tr>
        <w:trPr/>
        <w:tc>
          <w:tcPr>
            <w:tcW w:w="16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affiliates:</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Payments made on behalf of unconsolidated entities </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affiliates</w:t>
            </w:r>
          </w:p>
        </w:tc>
        <w:tc>
          <w:tcPr>
            <w:tcW w:w="2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Payments made on behalf of unconsolidated entities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normal course of business, the Company advances certain expenses on behalf of Oaktree funds. Amounts advanced on behalf of consolidated funds are eliminated in consolidation.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Administrative Services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an annual basis the Company reimburses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each of the three and six months ended June 30, 2026 and 2025, the Company incurred administrative services expense of $0.2 million and $0.4 million,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Investment in Oaktree Opportunities Fund XI</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has subscribed for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solely for the benefit of the Class A unitholder, subject to applicable law. The Company’s preferred unitholders should not rely on distributions received by the Company in respect of the Company’s Opps XI Investment for payment of dividends or redemption of the preferred units. For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ended June 30, 2026, the Company did not fund any of its capital commitment. As of June 30, 2026, the Company has funded in the aggregate $637.5 million of the $750.0 million of its capital commitment.</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Investment in Oaktree Opportunities Fund XII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subscribed for a limited partner interest in, and made a capital commitment of, $750.0 million to Oaktree Opportunities Fund XII, L.P., a parallel investment vehicle thereof or a feeder fund in respect of one of the foregoing (such limited partner interest, the “Opps XII Investment” and such fund entities collectively, “Opps XII”). Subsequently, the Company made an additional commitment of $46.2 million. In order to make the Opps XII Investment, the Company’s sole Class A unitholder, or one of its affiliates, will contribute cash as a capital contribution (the “Opps XII Investment Cash”) as and to the extent required to satisfy the Company’s obligations to Opps XII. The Company will use the Opps XII Investment Cash solely to fund the Opps XII Investment and satisfy its obligations in respect of Opps XII and distributions from the Opps XII Investment are intended solely for the benefit of the Class A unitholder, subject to applicable law. The Company’s preferred unitholders should not rely on distributions received by the Company in respect of the Company’s Opps XII Investment for payment of distributions on or redemption of the preferred units. For the six months ended June 30, 2026, the Company funded $59.8 million of its capital commitment. As of June 30, 2026, the Company has funded in the aggregate $278.7 million of the $796.2 million of its capital commitment.</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sans-serif" w:hAnsi="sans-serif"/>
          <w:b/>
          <w:color w:val="000000"/>
          <w:sz w:val="22"/>
        </w:rPr>
        <w:t>N</w:t>
      </w:r>
      <w:r>
        <w:rPr>
          <w:rFonts w:ascii="Arial;sans-serif" w:hAnsi="Arial;sans-serif"/>
          <w:b/>
          <w:color w:val="000000"/>
          <w:sz w:val="20"/>
        </w:rPr>
        <w:t xml:space="preserve">on-Traded REIT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val="false"/>
          <w:color w:val="000000"/>
          <w:sz w:val="20"/>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 II SLP-GP LLC and Brookfield REIT OP Special Limited Partner L.P. (collectively, and together with any additional entities that may become direct or indirect subsidiaries of NTR and that beneficially own shares of Brookfield REIT, the “REIT Entities”), including their indirect ownership in Brookfield REIT, as of June 30, 2023, and the Company agreed to contribute the Contributed Amount to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w:t>
      </w:r>
      <w:r>
        <w:rPr>
          <w:color w:val="000000"/>
        </w:rPr>
        <w:t xml:space="preserve"> </w:t>
      </w:r>
      <w:r>
        <w:rPr>
          <w:rFonts w:ascii="Arial;sans-serif" w:hAnsi="Arial;sans-serif"/>
          <w:b w:val="false"/>
          <w:color w:val="000000"/>
          <w:sz w:val="20"/>
        </w:rPr>
        <w:t>(the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then-indirect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April 20, 2026, the Company entered into a distribution agreement (the “Distribution Agreement”) with BOHCI, pursuant to which the Company distributed to BOHCI 100 Common Shares of NTR (the “Distributed Shares”), representing 100% of the Company’s equity interests in NTR, through a distribution in kind in respect of the Class A common units of BOH, on the terms and conditions of the Distribution Agreement. The distribution of the Distributed Shares was completed on April 20, 2026. As a result of the distribution, the Company no longer held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investment in NTR as of June 30, 2026. See Item 1.01 of the Company’s Current Report on Form 8-K filed with the SEC on April 27, 2026 for more information about the Distribution Agreement.</w:t>
      </w:r>
    </w:p>
    <w:p>
      <w:pPr>
        <w:pStyle w:val="TextBody"/>
        <w:bidi w:val="0"/>
        <w:spacing w:before="0" w:after="0"/>
        <w:ind w:left="0" w:right="0" w:firstLine="72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SPV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March 2024, BOH transferred a portion of its indirect interest in Opps XI to newly formed special purpose subsidiary (“SPV I”) and pledged its ownership interest in SPV I as collateral for a non-recourse credit facility of an affiliate. In June 2024, BOH transferred an additional portion of its indirect interest in Opps XI to a newly formed special purpose subsidiary (“SPV II”) and pledged its ownership interest in SPV II as collateral for a second non-recourse credit facility of the affiliate. Subsequently, in June 2025, BOH transferred a portion of its indirect interest in Opps XII to a newly formed special purpose subsidiary (“SPV III”) and pledged its ownership interest in SPV III as collateral to upsize the non-recourse credit facility originally closed in March 2024. While the outstanding borrowings on the facilities are the obligations of the affiliate, the co-borrowers, including SPV I, SPV II and SPV III, have joint and several liability under the credit facilities in the event of default and are required to comply with certain covenants. As of June 30, 2026, BOH’s potential exposure under these arrangements is limited to the carrying value of its pledged interests in SPV I, SPV II and SPV III of $162.9 million, $166.5 million and $102.0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20"/>
        </w:rPr>
      </w:pPr>
      <w:r>
        <w:rPr>
          <w:rFonts w:ascii="Arial;sans-serif" w:hAnsi="Arial;sans-serif"/>
          <w:b/>
          <w:color w:val="000000"/>
          <w:sz w:val="20"/>
        </w:rPr>
        <w:t>15. SEGMENT REPORTING</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operate as a single operating segment, which is also our sole reportable segment. The Company’s chief operating decision maker (“CODM”) is our Chief Executive Officer, who reviews financial information presented on a consolidated basis, accompanied by information about our revenue, for purposes of making operating decisions, assessing financial performance and allocating resources. Net income is our primary measure of profit, and all costs and expense categories on our consolidated statements of operations are significant, and are regularly reviewed at a consolidated level by the CODM. The assets attributable to this segment are reflected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16. SUBSEQUENT EVENTS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Oaktree/Brookfield Transaction</w:t>
      </w:r>
    </w:p>
    <w:p>
      <w:pPr>
        <w:pStyle w:val="TextBody"/>
        <w:bidi w:val="0"/>
        <w:spacing w:lineRule="auto" w:line="268" w:before="0" w:after="0"/>
        <w:ind w:left="0" w:right="0" w:firstLine="720"/>
        <w:jc w:val="left"/>
        <w:rPr/>
      </w:pPr>
      <w:r>
        <w:rPr>
          <w:rFonts w:ascii="Arial;sans-serif" w:hAnsi="Arial;sans-serif"/>
          <w:b w:val="false"/>
          <w:color w:val="000000"/>
          <w:sz w:val="20"/>
        </w:rPr>
        <w:t>On July 31, 2026, the transactions (the “Transactions”) contemplated by that certain Transaction Agreement (the “Transaction Agreement”), dated as of April 14, 2026, by and among Oaktree, BAM, Brookfield and the other parties thereto, were consummated and all of the outstanding limited partnership interests and equity awards of OCGH, OEP, and OEP II were acquired and/or cancelled, in each case, in exchange for the applicable consideration payable therefor, which, as applicable, included cash, Class A Limited Voting Shares of BAM, Class A Limited Voting Shares of Brookfield Corporation (“BN”), a corporation amalgamated under the laws of the Province of Ontario, limited partnership interests of Exchange LP, a Delaware limited partnership, and/or BAM restricted stock units (RSUs) (or a combination thereof).</w:t>
      </w:r>
      <w:r>
        <w:rPr>
          <w:color w:val="000000"/>
        </w:rPr>
        <w:t xml:space="preserve"> </w:t>
      </w:r>
      <w:r>
        <w:rPr>
          <w:rFonts w:ascii="Arial;sans-serif" w:hAnsi="Arial;sans-serif"/>
          <w:b w:val="false"/>
          <w:color w:val="000000"/>
          <w:sz w:val="20"/>
        </w:rPr>
        <w:t>See Items 2.01, 5.02 and 5.03 of the Company’s Current Report on Form 8-K filed with the SEC on August 3, 2026 for more information about the Transactions.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addition, on July 31, 2026, BN transferred to affiliates of Brookfield Wealth Solutions Ltd. ("BWS"), a paired entity to BN, indirect economic interests in the general partner commitments of certain Oaktree funds under Oaktree Capital I, which continues to legally hold the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80" w:after="180"/>
        <w:ind w:left="0" w:right="0" w:firstLine="720"/>
        <w:jc w:val="left"/>
        <w:rPr>
          <w:rFonts w:ascii="Arial;sans-serif" w:hAnsi="Arial;sans-serif"/>
          <w:b w:val="false"/>
          <w:i/>
          <w:color w:val="000000"/>
          <w:sz w:val="20"/>
        </w:rPr>
      </w:pPr>
      <w:r>
        <w:rPr>
          <w:rFonts w:ascii="Arial;sans-serif" w:hAnsi="Arial;sans-serif"/>
          <w:b w:val="false"/>
          <w:i/>
          <w:color w:val="000000"/>
          <w:sz w:val="20"/>
        </w:rPr>
        <w:t>The following discussion and analysis should be read in conjunction with the unaudited condensed consolidated financial statements of Brookfield Oaktree Holdings, LLC and the related notes included within this quarterly report.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quarterly report and under “Risk Factors” in our annual report provide examples of risks, uncertainties and events that may cause our actual results to differ materially from the expectations described in any forward-looking statements.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 xml:space="preserve">Business Overview </w:t>
      </w:r>
    </w:p>
    <w:p>
      <w:pPr>
        <w:pStyle w:val="TextBody"/>
        <w:bidi w:val="0"/>
        <w:spacing w:lineRule="auto" w:line="268" w:before="180" w:after="180"/>
        <w:ind w:left="0" w:right="0" w:firstLine="720"/>
        <w:jc w:val="left"/>
        <w:rPr/>
      </w:pPr>
      <w:r>
        <w:rPr>
          <w:rFonts w:ascii="Arial;sans-serif" w:hAnsi="Arial;sans-serif"/>
          <w:b w:val="false"/>
          <w:color w:val="000000"/>
          <w:sz w:val="20"/>
          <w:shd w:fill="FFFFFF" w:val="clear"/>
        </w:rPr>
        <w:t>Brookfield Oaktree Holdings, LLC holds Credit, Equity and Real Estate investments managed by leading alternative asset management firms Oaktree Capital Management, L.P. and, prior to April 20, 2026, Brookfield Asset Management Ltd.</w:t>
      </w:r>
      <w:r>
        <w:rPr>
          <w:color w:val="000000"/>
        </w:rPr>
        <w:t xml:space="preserve"> </w:t>
      </w:r>
      <w:r>
        <w:rPr>
          <w:rFonts w:ascii="Arial;sans-serif" w:hAnsi="Arial;sans-serif"/>
          <w:b w:val="false"/>
          <w:color w:val="000000"/>
          <w:sz w:val="20"/>
          <w:shd w:fill="FFFFFF" w:val="clear"/>
        </w:rPr>
        <w:t xml:space="preserve">The Company both directly invests in funds and has indirect exposure through its equity method investment in Oaktree Capital I, L.P. (“Oaktree Capital I”), which holds a majority </w:t>
      </w:r>
      <w:r>
        <w:rPr>
          <w:rFonts w:ascii="Arial;sans-serif" w:hAnsi="Arial;sans-serif"/>
          <w:b w:val="false"/>
          <w:color w:val="000000"/>
          <w:sz w:val="20"/>
        </w:rPr>
        <w:t>of Oaktree’s investments in its funds.</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Brookfield Oaktree Holdings, LLC is a Delaware limited liability company that was formed on April 13, 2007 under the name Oaktree Capital Group, LLC. The Company’s ownership and operational structure through June 30, 2026 are the result of certain mergers and restructurings. The Company’s holdings and operations primarily represent (i) limited partner investments in certain of Oaktree’s flagship opportunistic credit funds and (ii) its equity method investment in Oaktree Capital I, which holds a majority of Oaktree’s investments in its funds. Prior to April 20, 2026, the Company’s holdings also included an indirect ownership interest in Brookfield Real Estate Income Trust Inc. (“Brookfield REIT”). On April 20, 2026, the Company distributed its 100% equity interest in OCG NTR Holdings, LLC (“NTR”) to Brookfield Oaktree Holdings Canada Inc. (“BOHCI”). As a result, the Company no longer has an indirect ownership interest in Brookfield REIT.</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See Part I, Item 1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and Part I, Item 1 included in the Company’s Annual Report on Form 10-K for the year ended December 31, 2022 filed with the SEC on March 21, 2023 for more information about the 2022 Restructuring. See Item 8.01 of the Company’s Current Report on Form 8-K filed with the SEC on July 1, 2024 for more information about the 2024 Restructuring.</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OCM provides certain administrative and other services relating to the operations of the Company’s business pursuant to the Services Agreement between the Company and OCM. </w:t>
      </w:r>
    </w:p>
    <w:p>
      <w:pPr>
        <w:pStyle w:val="TextBody"/>
        <w:bidi w:val="0"/>
        <w:spacing w:lineRule="auto" w:line="288" w:before="180" w:after="18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Business Environment and Developments </w:t>
      </w:r>
    </w:p>
    <w:p>
      <w:pPr>
        <w:pStyle w:val="TextBody"/>
        <w:bidi w:val="0"/>
        <w:spacing w:lineRule="auto" w:line="268" w:before="180" w:after="180"/>
        <w:ind w:left="0" w:right="0" w:firstLine="720"/>
        <w:jc w:val="left"/>
        <w:rPr/>
      </w:pPr>
      <w:r>
        <w:rPr>
          <w:rFonts w:ascii="Arial;sans-serif" w:hAnsi="Arial;sans-serif"/>
          <w:b w:val="false"/>
          <w:color w:val="000000"/>
          <w:sz w:val="20"/>
          <w:shd w:fill="FFFFFF" w:val="clear"/>
        </w:rPr>
        <w:t>The Company and Oaktree are affected by a wide range of factors, including the condition of the global economy and financial m</w:t>
      </w:r>
      <w:r>
        <w:rPr>
          <w:rFonts w:ascii="Arial;sans-serif" w:hAnsi="Arial;sans-serif"/>
          <w:b w:val="false"/>
          <w:color w:val="000000"/>
          <w:sz w:val="20"/>
        </w:rPr>
        <w:t>arkets; the relative attractiveness of Oaktree’s investment strategies and investors’ demand for them; and regulatory or other governmental policies or actions. Global economic conditions can significantly impact the values of fund investments and the ability to make new investments or sell existing investments for these funds. Historically, however, Oaktree’s diversified nature, of both investment strategies and revenue mix, has generally allowed it to benefit from both strong and weak economic environments. Weak economies and the declining financial markets that typically 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typically create favorable exit opportunities that enhance the prospect for incentive income and fund-related realized investment income proceeds for Oaktree and enhance the prospect for investment income for us.</w:t>
      </w:r>
    </w:p>
    <w:p>
      <w:pPr>
        <w:pStyle w:val="TextBody"/>
        <w:bidi w:val="0"/>
        <w:spacing w:lineRule="auto" w:line="26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ongoing Russia-Ukraine conflict, including global sanctions imposed on Russia, conflict in the Middle East, and changes in trade policies of the United States and other countries, including the imposition of tariffs and retaliatory tariffs, create continued uncertainty and volatility in the global financial markets and economy and,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68" w:before="180" w:after="180"/>
        <w:jc w:val="left"/>
        <w:rPr>
          <w:rFonts w:ascii="Arial;sans-serif" w:hAnsi="Arial;sans-serif"/>
          <w:b w:val="false"/>
          <w:color w:val="000000"/>
          <w:sz w:val="20"/>
        </w:rPr>
      </w:pPr>
      <w:r>
        <w:rPr>
          <w:rFonts w:ascii="Arial;sans-serif" w:hAnsi="Arial;sans-serif"/>
          <w:b w:val="false"/>
          <w:color w:val="000000"/>
          <w:sz w:val="20"/>
        </w:rPr>
        <w:t xml:space="preserve">result, may adversely impact Oaktree’s businesses and its funds’ and their respective portfolio companies’ business. As of the date of this filing, we are not aware of any material risk to the stability of our condensed consolidated financial statements caused by the Russia-Ukraine conflict, the conflict in the Middle East or changes in U.S. and global trade policies, or the materiality of any effect such uncertainties may have on our business and operations.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There has been significant recent progress and developments in the area of generative artificial intelligence, but the impact to our business of such evolving technology cannot be fully determined at this time.</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 xml:space="preserve">Understanding Our Results—Consolidation of Oaktree Funds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condensed consolidated financial statements included elsewhere in this quarterly report for more information.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6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We earn interest and dividend income which is primarily earned by our consolidated funds from their investment holdings.</w:t>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earn revenue from investment income, which represents our pro-rata share of income or loss from our investments, including the Company’s equity method investment in Oaktree Capital I. Prior to April 20, 2026, investment income also included income or loss from the Company’s indirect ownership in Brookfield REIT.</w:t>
      </w:r>
    </w:p>
    <w:p>
      <w:pPr>
        <w:pStyle w:val="TextBody"/>
        <w:bidi w:val="0"/>
        <w:spacing w:lineRule="auto" w:line="26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Our consolidated revenues reflect the elimination of all revenues, if any, related to funds that are consolidated by the Company.</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Please see “Business—Structure and Operation of Our Business—Structure of Funds” in our annual report for a detailed discussion of the structure of Oaktree funds.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Expenses </w:t>
      </w:r>
    </w:p>
    <w:p>
      <w:pPr>
        <w:pStyle w:val="TextBody"/>
        <w:bidi w:val="0"/>
        <w:spacing w:lineRule="auto" w:line="288" w:before="90" w:after="180"/>
        <w:jc w:val="left"/>
        <w:rPr>
          <w:rFonts w:ascii="Arial;sans-serif" w:hAnsi="Arial;sans-serif"/>
          <w:b w:val="false"/>
          <w:i/>
          <w:color w:val="000000"/>
          <w:sz w:val="20"/>
        </w:rPr>
      </w:pPr>
      <w:r>
        <w:rPr>
          <w:rFonts w:ascii="Arial;sans-serif" w:hAnsi="Arial;sans-serif"/>
          <w:b w:val="false"/>
          <w:i/>
          <w:color w:val="000000"/>
          <w:sz w:val="20"/>
        </w:rPr>
        <w:t xml:space="preserve">Compensation, General and Administrative Expenses </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Compensation primarily reflects compensation to the Company’s board of directors. General and administrative expenses include costs related to outside auditors, tax professionals, and other general items related directly to the Company’s operations.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Consolidated Fund Expenses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 </w:t>
      </w:r>
    </w:p>
    <w:p>
      <w:pPr>
        <w:pStyle w:val="TextBody"/>
        <w:bidi w:val="0"/>
        <w:spacing w:lineRule="auto" w:line="288" w:before="90" w:after="180"/>
        <w:jc w:val="left"/>
        <w:rPr>
          <w:rFonts w:ascii="Arial;sans-serif" w:hAnsi="Arial;sans-serif"/>
          <w:b w:val="false"/>
          <w:i/>
          <w:color w:val="000000"/>
          <w:sz w:val="20"/>
        </w:rPr>
      </w:pPr>
      <w:r>
        <w:rPr>
          <w:rFonts w:ascii="Arial;sans-serif" w:hAnsi="Arial;sans-serif"/>
          <w:b w:val="false"/>
          <w:i/>
          <w:color w:val="000000"/>
          <w:sz w:val="20"/>
        </w:rPr>
        <w:t xml:space="preserve">Interest Expense </w:t>
      </w:r>
    </w:p>
    <w:p>
      <w:pPr>
        <w:pStyle w:val="TextBody"/>
        <w:bidi w:val="0"/>
        <w:spacing w:lineRule="auto" w:line="26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Interest expense has historically primarily reflected the interest expense of the consolidated funds.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Other Income (Loss)</w:t>
      </w:r>
    </w:p>
    <w:p>
      <w:pPr>
        <w:pStyle w:val="TextBody"/>
        <w:bidi w:val="0"/>
        <w:spacing w:lineRule="auto" w:line="288" w:before="180" w:after="180"/>
        <w:jc w:val="left"/>
        <w:rPr>
          <w:rFonts w:ascii="Arial;sans-serif" w:hAnsi="Arial;sans-serif"/>
          <w:b w:val="false"/>
          <w:i/>
          <w:color w:val="000000"/>
          <w:sz w:val="20"/>
        </w:rPr>
      </w:pPr>
      <w:r>
        <w:rPr>
          <w:rFonts w:ascii="Arial;sans-serif" w:hAnsi="Arial;sans-serif"/>
          <w:b w:val="false"/>
          <w:i/>
          <w:color w:val="000000"/>
          <w:sz w:val="20"/>
        </w:rPr>
        <w:t xml:space="preserve">Net Realized Gain (Loss) on Consolidated Funds’ Investments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Net realized gain (loss) on consolidated funds’ investments consists of realized gains and losses arising from dispositions of investments held by our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180"/>
        <w:jc w:val="left"/>
        <w:rPr>
          <w:rFonts w:ascii="Arial;sans-serif" w:hAnsi="Arial;sans-serif"/>
          <w:b w:val="false"/>
          <w:i/>
          <w:color w:val="000000"/>
          <w:sz w:val="20"/>
        </w:rPr>
      </w:pPr>
      <w:r>
        <w:rPr>
          <w:rFonts w:ascii="Arial;sans-serif" w:hAnsi="Arial;sans-serif"/>
          <w:b w:val="false"/>
          <w:i/>
          <w:color w:val="000000"/>
          <w:sz w:val="20"/>
        </w:rPr>
        <w:t xml:space="preserve">Net Change in Unrealized Appreciation (Depreciation) on Consolidated Funds’ Investments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Net change in unrealized appreciation (depreciation) on consolidated funds’ investments reflects both unrealized gains and losses on investments held by our consolidated funds and the reversal upon disposition of investments of unrealized gains and losses previously recognized for those investments.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a publicly traded partnership. Because it satisfies the qualifying income test, it is not required to be treated as a corporation for U.S. federal and state income tax purposes; rather it is taxed as a partnership.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Net Income Attributable to Non-controlling Interests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income attributable to non-controlling interests represents the ownership interests that third parties hold in entities that are consolidated in our financial statements. These interests fall into two categories: </w:t>
      </w:r>
    </w:p>
    <w:p>
      <w:pPr>
        <w:pStyle w:val="TextBody"/>
        <w:bidi w:val="0"/>
        <w:spacing w:lineRule="auto" w:line="268" w:before="0" w:after="0"/>
        <w:ind w:left="0" w:right="0" w:hanging="315"/>
        <w:jc w:val="left"/>
        <w:rPr/>
      </w:pPr>
      <w:r>
        <w:rPr>
          <w:color w:val="000000"/>
        </w:rPr>
        <w:t>•</w:t>
      </w:r>
      <w:r>
        <w:rPr>
          <w:rFonts w:ascii="Arial;sans-serif" w:hAnsi="Arial;sans-serif"/>
          <w:b/>
          <w:i/>
          <w:color w:val="000000"/>
          <w:sz w:val="20"/>
        </w:rPr>
        <w:t>Net Income Attributable to Non-controlling Interests in Consolidated Funds.</w:t>
      </w:r>
      <w:r>
        <w:rPr>
          <w:color w:val="000000"/>
        </w:rPr>
        <w:t xml:space="preserve"> </w:t>
      </w:r>
      <w:r>
        <w:rPr>
          <w:rFonts w:ascii="Arial;sans-serif" w:hAnsi="Arial;sans-serif"/>
          <w:b w:val="false"/>
          <w:color w:val="000000"/>
          <w:sz w:val="20"/>
        </w:rPr>
        <w:t>This category represents the economic interests of the unaffiliated investors in the consolidated funds. The net income of these interests is primarily driven by the investment performance of the consolidated funds. In comparison to net income, this measure excludes our operating results and other items solely attributable to the Company; and,</w:t>
      </w:r>
    </w:p>
    <w:p>
      <w:pPr>
        <w:pStyle w:val="TextBody"/>
        <w:bidi w:val="0"/>
        <w:spacing w:before="0" w:after="0"/>
        <w:ind w:left="0" w:right="0" w:firstLine="45"/>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i/>
          <w:color w:val="000000"/>
          <w:sz w:val="20"/>
        </w:rPr>
        <w:t>Net Income Attributable to Non-controlling Interests in Consolidated Subsidiaries.</w:t>
      </w:r>
      <w:r>
        <w:rPr>
          <w:color w:val="000000"/>
        </w:rPr>
        <w:t xml:space="preserve"> </w:t>
      </w:r>
      <w:r>
        <w:rPr>
          <w:rFonts w:ascii="Arial;sans-serif" w:hAnsi="Arial;sans-serif"/>
          <w:b w:val="false"/>
          <w:color w:val="000000"/>
          <w:sz w:val="20"/>
        </w:rPr>
        <w:t>This category primarily represents the economic interest in certain consolidated subsidiaries held by third parties. Certain of our expenses, such as income tax and related administrative expenses of Brookfield Oaktree Holdings, LLC and the holding companies through which we hold interests in Oaktree Capital I, were solely attributable to the Class A unitholders.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Net Income Attributable to Preferred Unitholders</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This category represents distributions declared, if any, on our preferred units. Please see Note 10 to our condensed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90" w:after="180"/>
        <w:jc w:val="left"/>
        <w:rPr/>
      </w:pPr>
      <w:r>
        <w:rPr>
          <w:rFonts w:ascii="Arial;sans-serif" w:hAnsi="Arial;sans-serif"/>
          <w:b/>
          <w:color w:val="000000"/>
          <w:sz w:val="20"/>
        </w:rPr>
        <w:t>GAAP Consolidated Results of Operations</w:t>
      </w:r>
      <w:r>
        <w:rPr>
          <w:color w:val="FF0000"/>
        </w:rPr>
        <w:t xml:space="preserve"> </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our 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11"/>
        <w:gridCol w:w="1442"/>
        <w:gridCol w:w="1446"/>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1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 except per unit data)</w:t>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264,485 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fund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(49,265)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(52,327)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(104,330)</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on consolidated funds’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consolidated funds’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(140,344)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(loss)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(65,207)</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94,948 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 in consolidated funds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(76,613)</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non-controlling interests in consolidated subsidiaries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attributable to Brookfield Oaktree Holdings, LLC </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16,564 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preferred unitholders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(loss) attributable to Brookfield Oaktree Holdings, LLC Class A unitholders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Distributions declared per Class A unit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Class A unit (basic and diluted):</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Class A unit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Class A units outstanding</w:t>
            </w:r>
          </w:p>
        </w:tc>
        <w:tc>
          <w:tcPr>
            <w:tcW w:w="93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118,670 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117,528 </w:t>
            </w:r>
          </w:p>
        </w:tc>
        <w:tc>
          <w:tcPr>
            <w:tcW w:w="15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 xml:space="preserve">Second Quarter Ended June 30, 2026 Compared to the Second Quarter Ended June 30, 2025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Revenues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Interest and Dividend Income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and dividend income decreased $41.7 million, or 37.1%, to $70.6 million for the second quarter of 2026, from $112.3 million for the second quarter of 2025. The decrease was primarily attributable to lower income from our investments in Opps XI.</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Investment Income</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 income increased $11.9 million, or 136.8%, to $20.6 million for the second quarter of 2026, from $8.7 million for the second quarter of 2025, primarily reflecting the performance of Oaktree Capital I.</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Expenses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decreased $0.6 million, or 42.9%, to $0.8 million for the second quarter of 2026, compared to an expense of $1.4 million for the second quarter of 2025, primarily driven by lower accounting fees.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Consolidated Fund Expenses</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Consolidated fund expenses decreased $4.6 million, or 20.4%, to $17.9 million for the second quarter of 2026, from $22.5 million for the second quarter of 2025. The decrease is primarily due to lower general costs incurred by Opps XI.</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Interest Expense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increased $1.8 million, or 9.9%, to $20.0 million for the second quarter of 2026, from $18.2 million for the second quarter of 2025, primarily due to higher debt balances at Opps XII.</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(Loss)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Net Realized Gain (Loss) on Consolidated Funds’ Investments </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realized gain on consolidated funds’ investments increased $69.4 million, from a net gain of $0.6 million for the second quarter of 2025 to $70.0 million for the second quarter of 2026. The net realized gain during the second quarter of 2026 reflects our consolidated funds’ performance on investments sold and the increase is primarily due to Opps XI.</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Net Change in Unrealized Appreciation (Depreciation) on Consolidated Funds’ Investments </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change in unrealized appreciation (depreciation) on consolidated funds’ investments increased $51.3 million, to a gain of $38.8 million for the second quarter of 2026, from a loss of $12.5 million for the second quarter of 2025. Excluding the impact of the reversal of net realized gain (loss) on consolidated funds’ investments, the net change in unrealized appreciation (depreciation) on consolidated funds’ investments increased $120.8 million, to a net gain of $108.9 million for the second quarter of 2026, from a net loss of $11.9 million for the second quarter of 2025, primarily resulting from our investments in Opps XI and Opps XII.</w:t>
      </w:r>
    </w:p>
    <w:p>
      <w:pPr>
        <w:pStyle w:val="TextBody"/>
        <w:bidi w:val="0"/>
        <w:spacing w:lineRule="auto" w:line="288" w:before="180" w:after="200"/>
        <w:jc w:val="left"/>
        <w:rPr>
          <w:rFonts w:ascii="Arial;sans-serif" w:hAnsi="Arial;sans-serif"/>
          <w:b/>
          <w:i/>
          <w:color w:val="000000"/>
          <w:sz w:val="20"/>
        </w:rPr>
      </w:pPr>
      <w:r>
        <w:rPr>
          <w:rFonts w:ascii="Arial;sans-serif" w:hAnsi="Arial;sans-serif"/>
          <w:b/>
          <w:i/>
          <w:color w:val="000000"/>
          <w:sz w:val="20"/>
        </w:rPr>
        <w:t xml:space="preserve">Net Income Attributable to Non-controlling Interests in Consolidated Funds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income attributable to non-controlling interests in consolidated funds increased $60.0 million, to $105.1 million for the second quarter of 2026, from $45.1 million for the second quarter of 2025. The increase reflected our consolidated funds’ performance attributable to third-party investors in each period. These effects are described in more detail under “—Other Income (Loss)”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Net Income Attributable to Brookfield Oaktree Holdings, LLC Class A Unitholders </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income attributable to Brookfield Oaktree Holdings, LLC Class A unitholders increased $34.3 million, to $49.0 million for the second quarter of 2026, from $14.7 million for the second quarter of 2025, primarily reflecting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68" w:before="180" w:after="283"/>
        <w:jc w:val="left"/>
        <w:rPr>
          <w:rFonts w:ascii="Arial;sans-serif" w:hAnsi="Arial;sans-serif"/>
          <w:b w:val="false"/>
          <w:color w:val="000000"/>
          <w:sz w:val="20"/>
        </w:rPr>
      </w:pPr>
      <w:r>
        <w:rPr>
          <w:rFonts w:ascii="Arial;sans-serif" w:hAnsi="Arial;sans-serif"/>
          <w:b w:val="false"/>
          <w:color w:val="000000"/>
          <w:sz w:val="20"/>
        </w:rPr>
        <w:t>unrealized investment gains. These effects are described in more detail under “— Net Change in Unrealized Appreciation (Depreciation) on Consolidated Funds’ Investments” above.</w:t>
      </w:r>
    </w:p>
    <w:p>
      <w:pPr>
        <w:pStyle w:val="TextBody"/>
        <w:bidi w:val="0"/>
        <w:spacing w:before="3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Six Months Ended June 30, 2026 Compared to the Six Months Ended June 30, 2025</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Revenues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Interest and Dividend Income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and dividend income decreased $99.2 million, or 38.1%, to $161.5 million for the first six months of 2026, from $260.7 million for the first six months of 2025. The decrease was primarily attributable to lower income from our investments in Opps XI.</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Investment Income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 income increased $37.6 million, or 989.5%, to $41.4 million for the first six months of 2026, from $3.8 million for the first six months of 2025, primarily reflecting the performance of Oaktree Capital I and, prior to its distribution on April 20, 2026, Brookfield REIT.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Expenses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decreased $0.8 million, or 36.4%, to $1.4 million for the first six months of 2026, from $2.2 million for the first six months of 2025, primarily driven by lower accounting fees and technology expenses.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Consolidated Fund Expenses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Consolidated fund expenses decreased $10.0 million, or 20.3%, to $39.3 million for the first six months of 2026, from $49.3 million for the first six months of 2025. The decrease is primarily due to lower general costs incurred by Opps XI and Opps XII.</w: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Interest Expense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decreased $12.8 million, or 24.5%, to $39.5 million for the first six months of 2026, from $52.3 million for the first six months of 2025, primarily due to lower interest rates at Opps XII.</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(Loss)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Net Realized Gain (Loss) on Consolidated Funds’ Investments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realized gain on consolidated funds’ investments decreased $29.0 million, from a net gain of $75.1 million for the first six months of 2025 to $46.1 million for the first six months of 2026. The net realized gain during the first six months of 2026 reflects our consolidated funds’ performance on investments sold and the decrease is primarily due to Opps XII.</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Net Change in Unrealized Appreciation (Depreciation) on Consolidated Funds’ Investments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change in unrealized appreciation (depreciation) on consolidated funds’ investments increased $260.6 million, to an appreciation of $120.3 million for the first six months of 2026, from a depreciation of $140.3 million for the first six months of 2025. Excluding the impact of the reversal of net realized gain (loss) on consolidated funds’ investments, the net change in unrealized appreciation (depreciation) on consolidated funds’ investments increased $231.6 million, to a net gain of $166.4 million for the first six months of 2026, from a net loss of $65.2 million for the first six months of 2025, primarily resulting from our investments in Opps XI and Opps XII.</w:t>
      </w:r>
    </w:p>
    <w:p>
      <w:pPr>
        <w:pStyle w:val="TextBody"/>
        <w:bidi w:val="0"/>
        <w:spacing w:lineRule="auto" w:line="288" w:before="180" w:after="200"/>
        <w:jc w:val="left"/>
        <w:rPr>
          <w:rFonts w:ascii="Arial;sans-serif" w:hAnsi="Arial;sans-serif"/>
          <w:b/>
          <w:i/>
          <w:color w:val="000000"/>
          <w:sz w:val="20"/>
        </w:rPr>
      </w:pPr>
      <w:r>
        <w:rPr>
          <w:rFonts w:ascii="Arial;sans-serif" w:hAnsi="Arial;sans-serif"/>
          <w:b/>
          <w:i/>
          <w:color w:val="000000"/>
          <w:sz w:val="20"/>
        </w:rPr>
        <w:t xml:space="preserve">Net Income Attributable to Non-controlling Interests in Consolidated Funds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income attributable to non-controlling interests in consolidated funds increased $116.3 million, to $192.9 million for the first six months of 2026, from $76.6 million for the first six months of 2025. The increase reflected our consolidated funds’ performance attributable to third-party investors in each period. These effects are described in more detail under “—Other Income (Loss)”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Net Income Attributable to Brookfield Oaktree Holdings, LLC Class A Unitholders </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income (loss) attributable to Brookfield Oaktree Holdings, LLC Class A unitholders increased $78.6 million, to $81.5 million for the first six months of 2026, from $2.9 million for the first six months of 2025, primarily reflecting unrealized investment gains. These effects are described in more detail under “— Net Change in Unrealized Appreciation (Depreciation) on Consolidated Funds’ Investments”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GAAP Statement of Financial Condition (Unaudited)</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manage our financial condition without the consolidation of the Oaktree funds.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our unaudited condensed consolidating statement of financial condition:</w:t>
      </w:r>
    </w:p>
    <w:tbl>
      <w:tblPr>
        <w:tblW w:w="10205" w:type="dxa"/>
        <w:jc w:val="left"/>
        <w:tblInd w:w="0" w:type="dxa"/>
        <w:tblLayout w:type="fixed"/>
        <w:tblCellMar>
          <w:top w:w="28" w:type="dxa"/>
          <w:left w:w="28" w:type="dxa"/>
          <w:bottom w:w="28" w:type="dxa"/>
          <w:right w:w="28" w:type="dxa"/>
        </w:tblCellMar>
      </w:tblPr>
      <w:tblGrid>
        <w:gridCol w:w="1362"/>
        <w:gridCol w:w="1198"/>
        <w:gridCol w:w="1215"/>
        <w:gridCol w:w="256"/>
        <w:gridCol w:w="1186"/>
        <w:gridCol w:w="132"/>
        <w:gridCol w:w="109"/>
        <w:gridCol w:w="109"/>
        <w:gridCol w:w="109"/>
        <w:gridCol w:w="216"/>
        <w:gridCol w:w="1002"/>
        <w:gridCol w:w="111"/>
        <w:gridCol w:w="109"/>
        <w:gridCol w:w="109"/>
        <w:gridCol w:w="109"/>
        <w:gridCol w:w="211"/>
        <w:gridCol w:w="880"/>
        <w:gridCol w:w="109"/>
        <w:gridCol w:w="109"/>
        <w:gridCol w:w="109"/>
        <w:gridCol w:w="109"/>
        <w:gridCol w:w="211"/>
        <w:gridCol w:w="976"/>
        <w:gridCol w:w="159"/>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June 30, 2026</w:t>
            </w:r>
          </w:p>
        </w:tc>
      </w:tr>
      <w:tr>
        <w:trP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BOH and its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w:t>
            </w:r>
          </w:p>
        </w:tc>
      </w:tr>
      <w:tr>
        <w:trP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w:t>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investments</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2,008,482 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1,149,676 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Receivables and other assets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of consolidated funds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5,868,828 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5,868,828 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2,060,975 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5,868,828 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(858,806)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7,070,997 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Capital:</w:t>
            </w:r>
          </w:p>
        </w:tc>
        <w:tc>
          <w:tcPr>
            <w:tcW w:w="1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payable and accrued expenses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Liabilities of consolidated funds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1,706,915 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1,706,915 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4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1,706,915 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1,708,042 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Non-controlling redeemable interests in consolidated funds </w:t>
            </w:r>
          </w:p>
        </w:tc>
        <w:tc>
          <w:tcPr>
            <w:tcW w:w="14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3,303,107 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3,303,107 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attributable to BOH preferred unitholders</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400,584 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400,584 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attributable to BOH Class A unitholders</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1,649,655 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636,289 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1,649,655 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Non-controlling interest in consolidated subsidiaries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Non-controlling interest in consolidated funds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3,303,107 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14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2,059,848 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4,161,913 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(4,161,913)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2,059,848 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capital</w:t>
            </w:r>
          </w:p>
        </w:tc>
        <w:tc>
          <w:tcPr>
            <w:tcW w:w="2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2,060,975 </w:t>
            </w:r>
          </w:p>
        </w:tc>
        <w:tc>
          <w:tcPr>
            <w:tcW w:w="1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5,868,828 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(858,806)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7,070,997 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Arial;sans-serif" w:hAnsi="Arial;sans-serif"/>
          <w:b/>
          <w:i/>
          <w:color w:val="000000"/>
          <w:sz w:val="20"/>
        </w:rPr>
      </w:pPr>
      <w:r>
        <w:rPr>
          <w:rFonts w:ascii="Arial;sans-serif" w:hAnsi="Arial;sans-serif"/>
          <w:b/>
          <w:i/>
          <w:color w:val="000000"/>
          <w:sz w:val="20"/>
        </w:rPr>
        <w:t>Corporate Investments</w:t>
      </w:r>
    </w:p>
    <w:tbl>
      <w:tblPr>
        <w:tblW w:w="10205" w:type="dxa"/>
        <w:jc w:val="left"/>
        <w:tblInd w:w="0" w:type="dxa"/>
        <w:tblLayout w:type="fixed"/>
        <w:tblCellMar>
          <w:top w:w="28" w:type="dxa"/>
          <w:left w:w="28" w:type="dxa"/>
          <w:bottom w:w="28" w:type="dxa"/>
          <w:right w:w="28" w:type="dxa"/>
        </w:tblCellMar>
      </w:tblPr>
      <w:tblGrid>
        <w:gridCol w:w="2043"/>
        <w:gridCol w:w="1786"/>
        <w:gridCol w:w="1787"/>
        <w:gridCol w:w="211"/>
        <w:gridCol w:w="976"/>
        <w:gridCol w:w="109"/>
        <w:gridCol w:w="109"/>
        <w:gridCol w:w="109"/>
        <w:gridCol w:w="109"/>
        <w:gridCol w:w="211"/>
        <w:gridCol w:w="976"/>
        <w:gridCol w:w="109"/>
        <w:gridCol w:w="109"/>
        <w:gridCol w:w="109"/>
        <w:gridCol w:w="109"/>
        <w:gridCol w:w="211"/>
        <w:gridCol w:w="976"/>
        <w:gridCol w:w="156"/>
      </w:tblGrid>
      <w:tr>
        <w:trPr/>
        <w:tc>
          <w:tcPr>
            <w:tcW w:w="204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w:t>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Oaktree funds: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817,281 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 – Before equity-method investment in Oaktree Capital I</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860,185 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1,191,276 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1,121,344 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Equity-method investment in Oaktree Capital I</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1,007,375 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 – Oaktree and operating subsidiaries</w:t>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2,008,482 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2,128,719 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(811,608)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 – Consolidated</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1,149,676 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1,438,190 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1,317,111 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Liquidity and Capital Resources</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manage our liquidity and capital requirements by focusing on our cash flows before the consolidation of Oaktree funds and the effect of normal changes in short-term assets and liabilities. Our primary cash flow activities on an unconsolidated basis involve (a) generating realized income and return of principal from investment activities, (b) funding capital commitments that we have made to Oaktree funds, (c) distributing cash flow to our Class A unitholders, (d) issuances of, and distributions made on, our preferred units, and (e) equity contribution from the investors of the Company to fulfill certain contractual capital commitments to its subsidiaries. As of June 30, 2026, the Company on an unconsolidated basis had $11.6 million of cash and cash equivalents.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Ongoing sources of cash include distributions from our equity method corporate investments. We primarily use distributions from our corporate investments to pay compensation and related expenses, service fees under the Services Agreement with OCM and distributions.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Distributions on the preferred units are discretionary and non-cumulative. 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the Company’s Opps XI Investment for payment of distributions on or redemption of the preferred units. As of June 30, 2026, $637.5 million of the $750.0 million capital commitment was funded. $329.4 million of the investment interest was pledged as collateral for two non-recourse credit facilities of an affiliate. The potential exposure is limited to the pledged interests.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subscribed for a limited partner interest in, and made a capital commitment of, $796.2 million to Oaktree Opportunities Fund XII, L.P., a parallel investment vehicle thereof or a feeder fund in respect of one of the foregoing (such limited partner interest, the “Opps XII Investment” and such fund entities collectively, “Opps XII”). In order to fund the Opps XII Investment, our sole Class A unitholder, or one of its affiliates, will contribute cash as a capital contribution (the “Opps XII Investment Cash”) as and to the extent required to satisfy our obligations to Opps XII. We will use the Opps XII Investment Cash solely to fund the Opps XII Investment and satisfy our obligations in respect of Opps XII. Distributions from the Opps XII Investment are intended for the benefit of the Class A unitholder, subject to applicable law. Our preferred unitholders should not rely on distributions received by us in respect of the Company’s Opps XII Investment for payment of distributions on or redemption of the preferred units. As of June 30, 2026, the Company has funded in the aggregate $278.7 million of the $796.2 million capital commitment. $102.0 million of the investment interest was pledged as collateral for one non-recourse credit facility of an affiliate. The potential exposure is limited to the pledged interests.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 II SLP-GP LLC and Brookfield REIT OP Special Limited Partner L.P. (collectively, and together with any additional entities that may become direct or indirect subsidiaries of NTR and that beneficially own shares of Brookfield REIT, the “REIT Entities”), including their indirect ownership in Brookfield Real Estate Income Trust Inc., a Maryland corporation (“Brookfield REIT”), as of June 30, 2023, and the Company agreed to contribute the Contributed Amount to OCG NTR Holdings, LLC, a wholly owned subsidiary of the Company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 (the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then-indirect ownership of Brookfield REIT or any other matters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April 20, 2026, the Company entered into a distribution agreement with BOHCI, pursuant to which the Company distributed to BOHCI 100 Common Shares of NTR, representing 100% of the Company’s equity interests in NTR, through a distribution in kind in respect of the Class A common units of BOH, on the terms and conditions of the Distribution Agreement. The distribution of the Distributed Shares was completed on April 20, 2026. As a result of the distribution, the Company no longer held an investment in NTR as of June 30, 2026. See Item 1.01 of the Company’s Current Report on Form 8-K filed with the SEC on April 27, 2026 for more information about the Distribution Agreement.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Consolidated Cash Flows</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accompanying condensed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condensed consolidated statements of cash flows. The primary cash flow activities of our consolidated funds involve: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raising capital from third-party investors;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using the capital provided by us and third-party investors to fund investments and operating expenses;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financing certain investments with indebtedness;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generating cash flows through the realization of investments, as well as the collection of interest and dividend income; and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distributing net cash flows to fund investors and to 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Because our consolidated funds are treated as investment companies for accounting purposes, their investing cash flow amounts are included in our cash flows from operations. We believe that we and each of the consolidated funds has sufficient access to cash to fund our and their respective operations in the near term.</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Significant amounts from our condensed consolidated statements of cash flows for the six months ended June 30, 2026 and 2025 are discussed below.</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Operating activities used $164.5 million and provided $540.0 million of cash for the first six months of 2026 and 2025, respectively. These amounts primarily reflected net income (loss), purchases of securities, net of non-cash adjustments, net realized and unrealized (gain) loss from consolidated fund investments in each of the respective periods as well as net purchases of, or proceeds from, securities of the consolidated funds.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90" w:after="240"/>
        <w:ind w:left="0" w:right="0" w:firstLine="720"/>
        <w:jc w:val="left"/>
        <w:rPr>
          <w:rFonts w:ascii="Arial;sans-serif" w:hAnsi="Arial;sans-serif"/>
          <w:b w:val="false"/>
          <w:color w:val="000000"/>
          <w:sz w:val="20"/>
        </w:rPr>
      </w:pPr>
      <w:r>
        <w:rPr>
          <w:rFonts w:ascii="Arial;sans-serif" w:hAnsi="Arial;sans-serif"/>
          <w:b w:val="false"/>
          <w:color w:val="000000"/>
          <w:sz w:val="20"/>
        </w:rPr>
        <w:t>Investing activities provided $3.5 million and $49.4 million of cash for the first six months of 2026 and 2025, respectively. These amounts primarily reflected distributions and proceeds from corporate investments in funds and companies.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Financing Activities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Financing activities provided $223.2 million and used $751.4 million of cash for the first six months of 2026 and 2025, respectively, and included: (a) net contribution from non-controlling interests of $38.6 million and net distribution from non-controlling interests of $41.2 million; (b) distributions to unitholders of $54.7 million and $355.0 million; and (c) net capital contributions of $59.7 million and $119.4 million, respectively. Additionally, the first six months of 2026 and 2025 included borrowings of $599.5 million and $545.6 million, respectively, and $420.0 million and $1,020.3 million of repayments, respectively, related to consolidated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Future Sources and Uses of Liquidity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OEP or OEP II units. The distributions from our corporate investments, including the distributions from the equity investment in Oaktree Capital I, also provide the Company with ongoing cash inflow.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that the sources of liquidity described above will be sufficient to fund our working capital requirements for at least the next twelve months.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Preferred Unit Issuances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August 9, 2018, we issued 9,400,000 of our 6.550% Series B preferred units representing limited liability company interests with a liquidation preference of $25.00 per unit. The issuance resulted in $226.9 million in net 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Contractual Obligations, Commitments and Contingencies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ordinary course of business, we and our consolidated funds enter into contractual arrangements that may require future cash payments. The following table sets forth information related to anticipated future cash payments as of June 30, 2026:  </w:t>
      </w:r>
    </w:p>
    <w:tbl>
      <w:tblPr>
        <w:tblW w:w="10205" w:type="dxa"/>
        <w:jc w:val="left"/>
        <w:tblInd w:w="0" w:type="dxa"/>
        <w:tblLayout w:type="fixed"/>
        <w:tblCellMar>
          <w:top w:w="28" w:type="dxa"/>
          <w:left w:w="28" w:type="dxa"/>
          <w:bottom w:w="28" w:type="dxa"/>
          <w:right w:w="28" w:type="dxa"/>
        </w:tblCellMar>
      </w:tblPr>
      <w:tblGrid>
        <w:gridCol w:w="1317"/>
        <w:gridCol w:w="1086"/>
        <w:gridCol w:w="1103"/>
        <w:gridCol w:w="229"/>
        <w:gridCol w:w="898"/>
        <w:gridCol w:w="118"/>
        <w:gridCol w:w="109"/>
        <w:gridCol w:w="109"/>
        <w:gridCol w:w="109"/>
        <w:gridCol w:w="211"/>
        <w:gridCol w:w="976"/>
        <w:gridCol w:w="109"/>
        <w:gridCol w:w="109"/>
        <w:gridCol w:w="109"/>
        <w:gridCol w:w="109"/>
        <w:gridCol w:w="215"/>
        <w:gridCol w:w="414"/>
        <w:gridCol w:w="110"/>
        <w:gridCol w:w="109"/>
        <w:gridCol w:w="109"/>
        <w:gridCol w:w="109"/>
        <w:gridCol w:w="222"/>
        <w:gridCol w:w="428"/>
        <w:gridCol w:w="116"/>
        <w:gridCol w:w="109"/>
        <w:gridCol w:w="109"/>
        <w:gridCol w:w="109"/>
        <w:gridCol w:w="211"/>
        <w:gridCol w:w="976"/>
        <w:gridCol w:w="158"/>
      </w:tblGrid>
      <w:tr>
        <w:trPr/>
        <w:tc>
          <w:tcPr>
            <w:tcW w:w="1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w:t>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BOH:</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BOH limited partner commitments to consolidated funds </w:t>
            </w:r>
            <w:r>
              <w:rPr>
                <w:rFonts w:ascii="Arial;sans-serif" w:hAnsi="Arial;sans-serif"/>
                <w:b w:val="false"/>
                <w:color w:val="000000"/>
                <w:sz w:val="12"/>
              </w:rPr>
              <w:t>(1)</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Funds: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Debt obligations payable</w:t>
            </w:r>
            <w:r>
              <w:rPr>
                <w:color w:val="FF0000"/>
              </w:rPr>
              <w:t xml:space="preserve"> </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324,438 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1,500,383 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obligations on debt </w:t>
            </w:r>
            <w:r>
              <w:rPr>
                <w:rFonts w:ascii="Arial;sans-serif" w:hAnsi="Arial;sans-serif"/>
                <w:b w:val="false"/>
                <w:color w:val="000000"/>
                <w:sz w:val="12"/>
              </w:rPr>
              <w:t>(2)</w:t>
            </w:r>
            <w:r>
              <w:rPr>
                <w:color w:val="000000"/>
              </w:rPr>
              <w:t xml:space="preserve"> </w:t>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34,091 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63,303 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988,571 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1,205,157 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2,193,728 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450"/>
        <w:jc w:val="left"/>
        <w:rPr>
          <w:rFonts w:ascii="Arial;sans-serif" w:hAnsi="Arial;sans-serif"/>
          <w:b w:val="false"/>
          <w:color w:val="000000"/>
          <w:sz w:val="18"/>
        </w:rPr>
      </w:pPr>
      <w:r>
        <w:rPr>
          <w:rFonts w:ascii="Arial;sans-serif" w:hAnsi="Arial;sans-serif"/>
          <w:b w:val="false"/>
          <w:color w:val="000000"/>
          <w:sz w:val="18"/>
        </w:rPr>
        <w:t>(1)    These obligations represent commitments by us to provide limited partner capital funding to our funds. These amounts are generally due on demand and are therefore presented in the 2026 column. Capital commitments are generally expected to be called over a period of several years.</w:t>
      </w:r>
    </w:p>
    <w:p>
      <w:pPr>
        <w:pStyle w:val="TextBody"/>
        <w:bidi w:val="0"/>
        <w:spacing w:lineRule="auto" w:line="288" w:before="60" w:after="283"/>
        <w:ind w:left="0" w:right="0" w:hanging="450"/>
        <w:jc w:val="left"/>
        <w:rPr/>
      </w:pPr>
      <w:r>
        <w:rPr>
          <w:rFonts w:ascii="Arial;sans-serif" w:hAnsi="Arial;sans-serif"/>
          <w:b w:val="false"/>
          <w:color w:val="000000"/>
          <w:sz w:val="18"/>
        </w:rPr>
        <w:t>(2)</w:t>
      </w:r>
      <w:r>
        <w:rPr>
          <w:color w:val="000000"/>
        </w:rPr>
        <w:t>    </w:t>
      </w:r>
      <w:r>
        <w:rPr>
          <w:rFonts w:ascii="Arial;sans-serif" w:hAnsi="Arial;sans-serif"/>
          <w:b w:val="false"/>
          <w:color w:val="000000"/>
          <w:sz w:val="18"/>
        </w:rPr>
        <w:t>Interest obligations include accrued interest on outstanding indebtedness. Where applicable, current interest rates are applied to estimate future interest obligations on variable-rate debt.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Please see Note 13 to our condensed consolidated financial statements included elsewhere in this quarterly report for information on our commitments and contingencies.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prepare our condensed consolidated financial statements in accordance with GAAP. In applying many of these accounting principles, we need to make assumptions, estimates 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Our most significant assumptions and estimates are related to the valuation of our corporate investments and the investments of our consolidated funds. For a summary of our significant accounting policies and estimates, please see the notes to our condensed consolidated financial statements included elsewhere in this quarterly report. For a summary of our critical accounting policies, please see “Management’s Discussion and Analysis of Financial Condition and Result of Operations—Critical Accounting Estimates” in our annual report.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Recent Accounting Developments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Please see Note 2 to our condensed consolidated financial statements included elsewhere in this quarterly report for information regarding recent accounting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normal course of business, we are exposed, directly or indirectly through our investments,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Oaktree’s investment approach, investment strategies, fundraising practices or other business activities that are designed to benefit, either in relative or absolute terms, from periods of economic weakness, tighter credit or financial market dislocations.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Our predominant exposure to market risk is related to our investments in Oaktree funds and our economic interest in Oaktree Capital I, which holds a general partner interest in certain Oaktree funds. The fair value of the financial assets and liabilities held by the funds, in which we are invested may fluctuate in response to changes in, among many factors, the fair value of securities, foreign-exchange rates, commodities prices and interest rates.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Price Risk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Impact on Net Change in Unrealized Appreciation (Depreciation) on Consolidated Funds’ Investments </w:t>
      </w:r>
    </w:p>
    <w:p>
      <w:pPr>
        <w:pStyle w:val="TextBody"/>
        <w:bidi w:val="0"/>
        <w:spacing w:lineRule="auto" w:line="288" w:before="180" w:after="283"/>
        <w:ind w:left="0" w:right="0" w:firstLine="720"/>
        <w:jc w:val="left"/>
        <w:rPr/>
      </w:pPr>
      <w:r>
        <w:rPr>
          <w:rFonts w:ascii="Arial;sans-serif" w:hAnsi="Arial;sans-serif"/>
          <w:b w:val="false"/>
          <w:color w:val="000000"/>
          <w:sz w:val="20"/>
        </w:rPr>
        <w:t xml:space="preserve">As of June 30, 2026, we had investments, at fair value of $5.5 billion related to our consolidated funds. </w:t>
      </w:r>
      <w:r>
        <w:rPr>
          <w:rFonts w:ascii="Arial;sans-serif" w:hAnsi="Arial;sans-serif"/>
          <w:b w:val="false"/>
          <w:color w:val="000000"/>
          <w:sz w:val="20"/>
          <w:shd w:fill="FFFFFF" w:val="clear"/>
        </w:rPr>
        <w:t xml:space="preserve">We estimate that a 10% decline in market values would result in a decrease in unrealized appreciation (depreciation) on the consolidated funds’ investments of $551.6 million. Of this decline, approximately </w:t>
      </w:r>
      <w:r>
        <w:rPr>
          <w:rFonts w:ascii="Arial;sans-serif" w:hAnsi="Arial;sans-serif"/>
          <w:b w:val="false"/>
          <w:color w:val="000000"/>
          <w:sz w:val="20"/>
        </w:rPr>
        <w:t>$112.7 million</w:t>
      </w:r>
      <w:r>
        <w:rPr>
          <w:color w:val="000000"/>
          <w:shd w:fill="FFFFFF" w:val="clear"/>
        </w:rPr>
        <w:t xml:space="preserve"> </w:t>
      </w:r>
      <w:r>
        <w:rPr>
          <w:rFonts w:ascii="Arial;sans-serif" w:hAnsi="Arial;sans-serif"/>
          <w:b w:val="false"/>
          <w:color w:val="000000"/>
          <w:sz w:val="20"/>
          <w:shd w:fill="FFFFFF" w:val="clear"/>
        </w:rPr>
        <w:t xml:space="preserve">would </w:t>
      </w:r>
      <w:r>
        <w:rPr>
          <w:rFonts w:ascii="Arial;sans-serif" w:hAnsi="Arial;sans-serif"/>
          <w:b w:val="false"/>
          <w:color w:val="000000"/>
          <w:sz w:val="20"/>
        </w:rPr>
        <w:t>impact net income attributable to BOH Class A unitholders, with the remainder attributable to non-controlling interests. The magnitude of the impact on net income is largely affected by the percentage of our equity ownership interest.</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Impact on Investment Income</w:t>
      </w:r>
    </w:p>
    <w:p>
      <w:pPr>
        <w:pStyle w:val="TextBody"/>
        <w:bidi w:val="0"/>
        <w:spacing w:lineRule="auto" w:line="288" w:before="180" w:after="283"/>
        <w:ind w:left="0" w:right="0" w:firstLine="720"/>
        <w:jc w:val="left"/>
        <w:rPr/>
      </w:pPr>
      <w:r>
        <w:rPr>
          <w:rFonts w:ascii="Arial;sans-serif" w:hAnsi="Arial;sans-serif"/>
          <w:b w:val="false"/>
          <w:color w:val="000000"/>
          <w:sz w:val="20"/>
        </w:rPr>
        <w:t>Investment income or loss arises from our pro-rata share of income or loss from our investments. This inc</w:t>
      </w:r>
      <w:r>
        <w:rPr>
          <w:rFonts w:ascii="Arial;sans-serif" w:hAnsi="Arial;sans-serif"/>
          <w:b w:val="false"/>
          <w:color w:val="000000"/>
          <w:sz w:val="20"/>
          <w:shd w:fill="FFFFFF" w:val="clear"/>
        </w:rPr>
        <w:t xml:space="preserve">ome is directly affected by changes in market risk factors. Based on investments held </w:t>
      </w:r>
      <w:r>
        <w:rPr>
          <w:rFonts w:ascii="Arial;sans-serif" w:hAnsi="Arial;sans-serif"/>
          <w:b w:val="false"/>
          <w:color w:val="000000"/>
          <w:sz w:val="20"/>
        </w:rPr>
        <w:t xml:space="preserve">by our equity method investments </w:t>
      </w:r>
      <w:r>
        <w:rPr>
          <w:rFonts w:ascii="Arial;sans-serif" w:hAnsi="Arial;sans-serif"/>
          <w:b w:val="false"/>
          <w:color w:val="000000"/>
          <w:sz w:val="20"/>
          <w:shd w:fill="FFFFFF" w:val="clear"/>
        </w:rPr>
        <w:t xml:space="preserve">as of June 30, 2026, a 10% decline in fair values of the investments held </w:t>
      </w:r>
      <w:r>
        <w:rPr>
          <w:rFonts w:ascii="Arial;sans-serif" w:hAnsi="Arial;sans-serif"/>
          <w:b w:val="false"/>
          <w:color w:val="000000"/>
          <w:sz w:val="20"/>
        </w:rPr>
        <w:t xml:space="preserve">by Oaktree Capital I </w:t>
      </w:r>
      <w:r>
        <w:rPr>
          <w:rFonts w:ascii="Arial;sans-serif" w:hAnsi="Arial;sans-serif"/>
          <w:b w:val="false"/>
          <w:color w:val="000000"/>
          <w:sz w:val="20"/>
          <w:shd w:fill="FFFFFF" w:val="clear"/>
        </w:rPr>
        <w:t xml:space="preserve">would result in a $102.8 million decrease in the amount of investment income. </w:t>
      </w:r>
      <w:r>
        <w:rPr>
          <w:rFonts w:ascii="Arial;sans-serif" w:hAnsi="Arial;sans-serif"/>
          <w:b w:val="false"/>
          <w:color w:val="000000"/>
          <w:sz w:val="20"/>
        </w:rPr>
        <w:t xml:space="preserve">These estimated effects are without regard to a number of factors that would be expected to increase or decrease the magnitude of the change to degrees that are not readily quantifiable, such as the timing of fund flows or the timing of new investments or realizations.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Exchange-rate Risk </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At any point in time, some of the investments held by the funds we are directly and indirectly invested in may be denominated in non-U.S. dollar currencies on an unhedged basis. Changes in currency rates could affect our revenues with respect to such fund investments; however, the degree of impact is not readily determinable because of the many indirect effects that currency movements may have on individual investments.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Credit Risk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Interest-rate Risk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of June 30, 2026, the Company prior to consolidation of funds had no debt obligations outstanding.</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consolidated funds have debt obligations, most of which accrue interest at variable rates. Changes in these rates would affect the amount of interest payments that our funds would have to make, impacting future earnings and cash flows. As of June 30, 2026, the consolidated funds had $1.5 billion of principal or par value, as applicable, outstanding under these debt obligations. We estimate that interest expense relating to variable-rate debt would increase on an annualized basis by $15.0 million in the event interest rates were to increase by 100 basis points.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300" w:after="283"/>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a discussion of legal proceedings, please see the section entitled “Legal Actions” in Note 13 to our condensed consolidated financial statements included elsewhere in this quarterly report, which section is incorporated herein by reference. Also, please see “Item 1A. Risk Factors—Risks Related to Our Business—Extensive regulation in the United States and abroad affects our activities and creates the potential for significant liabilities and penalties that could adversely affect our business and results of operations”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a discussion of our potential risks and uncertainties, please see the information under “Risk Factors” in our annual report. There have been no material changes to the risk factors disclosed in our annual report.</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risks described in our annual report are not the only risks facing us. Additional risks and uncertainties not currently known to us or that we currently deem to be immaterial also may materially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a list of exhibits filed with this report, refer to the Exhibits Index on the page immediately preceding the exhibits, which Exhibit Index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11, 2026</w:t>
      </w:r>
    </w:p>
    <w:tbl>
      <w:tblPr>
        <w:tblW w:w="5139" w:type="dxa"/>
        <w:jc w:val="left"/>
        <w:tblInd w:w="0" w:type="dxa"/>
        <w:tblLayout w:type="fixed"/>
        <w:tblCellMar>
          <w:top w:w="28" w:type="dxa"/>
          <w:left w:w="28" w:type="dxa"/>
          <w:bottom w:w="28" w:type="dxa"/>
          <w:right w:w="28" w:type="dxa"/>
        </w:tblCellMar>
      </w:tblPr>
      <w:tblGrid>
        <w:gridCol w:w="124"/>
        <w:gridCol w:w="109"/>
        <w:gridCol w:w="109"/>
        <w:gridCol w:w="509"/>
        <w:gridCol w:w="509"/>
        <w:gridCol w:w="509"/>
        <w:gridCol w:w="956"/>
        <w:gridCol w:w="956"/>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Brookfield Oaktree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Karly E. Dyck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3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Karly E. Dyck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Chief Financial Officer and Authorized Signatory</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EXHIBITS INDEX</w:t>
      </w:r>
    </w:p>
    <w:tbl>
      <w:tblPr>
        <w:tblW w:w="10205" w:type="dxa"/>
        <w:jc w:val="left"/>
        <w:tblInd w:w="0" w:type="dxa"/>
        <w:tblLayout w:type="fixed"/>
        <w:tblCellMar>
          <w:top w:w="28" w:type="dxa"/>
          <w:left w:w="28" w:type="dxa"/>
          <w:bottom w:w="28" w:type="dxa"/>
          <w:right w:w="28" w:type="dxa"/>
        </w:tblCellMar>
      </w:tblPr>
      <w:tblGrid>
        <w:gridCol w:w="305"/>
        <w:gridCol w:w="268"/>
        <w:gridCol w:w="269"/>
        <w:gridCol w:w="2941"/>
        <w:gridCol w:w="2734"/>
        <w:gridCol w:w="3688"/>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Exhibit No.</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u w:val="single"/>
              </w:rPr>
            </w:pPr>
            <w:r>
              <w:rPr>
                <w:rFonts w:ascii="Arial;sans-serif" w:hAnsi="Arial;sans-serif"/>
                <w:b/>
                <w:color w:val="000000"/>
                <w:sz w:val="14"/>
                <w:u w:val="single"/>
              </w:rPr>
              <w:t>Description of Exhibit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2.1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Transaction Agreement, dated as of April 14, 2026, by and among the Company and the other parties named therein (incorporated by reference to Exhibit 2.1 to the Registrant’s Current Report on Form 8-K, filed with the SEC on April 20, 2026)</w:t>
              </w:r>
            </w:hyperlink>
            <w:r>
              <w:rPr>
                <w:rFonts w:ascii="Arial;sans-serif" w:hAnsi="Arial;sans-serif"/>
                <w:b w:val="false"/>
                <w:color w:val="000000"/>
                <w:sz w:val="20"/>
              </w:rPr>
              <w: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3.1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Certificate of Formation of the Registrant effective as of March 15, 2024. (incorporated by reference to Exhibit 3.1 to the Registrant’s Annual Report on Form 10-K, filed with the SEC on March 21, 2024).</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3.2</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Eighth Amended and Restated Operating Agreement of the Registrant dated as of July 31, 2026 (including Unit Designation with respect to the Series A Preferred Units, dated May 17, 2018, and Unit Designation with respect to the Series B Preferred Units, dated August 9, 2018) (incorporated by reference to Exhibit 3.1 to the Registrant’s Current Report on Form 8-K, filed with the SEC on August 3, 2026).</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10.1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Distribution Agreement, dated April 20, 2026, by and between Brookfield Oaktree Holdings, LLC and Brookfield Oaktree Holdings Canada Inc. (incorporated by reference to Exhibit 10.1 to the Registrant’s Current Report on Form 8-K, filed with the SEC on April 27, 2026).</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q2026conformed.htm">
              <w:r>
                <w:rPr>
                  <w:rStyle w:val="InternetLink"/>
                  <w:rFonts w:ascii="Arial;sans-serif" w:hAnsi="Arial;sans-serif"/>
                  <w:b w:val="false"/>
                  <w:color w:val="0000FF"/>
                  <w:sz w:val="20"/>
                  <w:u w:val="single"/>
                </w:rPr>
                <w:t>31.1</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2q2026conformed.htm">
              <w:r>
                <w:rPr>
                  <w:rStyle w:val="InternetLink"/>
                  <w:rFonts w:ascii="Arial;sans-serif" w:hAnsi="Arial;sans-serif"/>
                  <w:b w:val="false"/>
                  <w:color w:val="0000FF"/>
                  <w:sz w:val="20"/>
                  <w:u w:val="single"/>
                </w:rPr>
                <w:t>Certification of the Principal Executive Officer pursuant to Rule 13a-14(a) or 15d-14(a) of the Exchange Act, as adopted, pursuant to Section 302 of the Sarbanes-Oxley Act of 2002.</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q2026conformed.htm">
              <w:r>
                <w:rPr>
                  <w:rStyle w:val="InternetLink"/>
                  <w:rFonts w:ascii="Arial;sans-serif" w:hAnsi="Arial;sans-serif"/>
                  <w:b w:val="false"/>
                  <w:color w:val="0000FF"/>
                  <w:sz w:val="20"/>
                  <w:u w:val="single"/>
                </w:rPr>
                <w:t>31.2</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2q2026conformed.htm">
              <w:r>
                <w:rPr>
                  <w:rStyle w:val="InternetLink"/>
                  <w:rFonts w:ascii="Arial;sans-serif" w:hAnsi="Arial;sans-serif"/>
                  <w:b w:val="false"/>
                  <w:color w:val="0000FF"/>
                  <w:sz w:val="20"/>
                  <w:u w:val="single"/>
                </w:rPr>
                <w:t>Certification of the Principal Financial Officer pursuant to Rule 13a-14(a) or 15d-14(a) of the Exchange Act, as adopted, pursuant to Section 302 of the Sarbanes-Oxley Act of 2002.</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q2026conformed.htm">
              <w:r>
                <w:rPr>
                  <w:rStyle w:val="InternetLink"/>
                  <w:rFonts w:ascii="Arial;sans-serif" w:hAnsi="Arial;sans-serif"/>
                  <w:b w:val="false"/>
                  <w:color w:val="0000FF"/>
                  <w:sz w:val="20"/>
                  <w:u w:val="single"/>
                </w:rPr>
                <w:t>32.1</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2q2026conformed.htm">
              <w:r>
                <w:rPr>
                  <w:rStyle w:val="InternetLink"/>
                  <w:rFonts w:ascii="Arial;sans-serif" w:hAnsi="Arial;sans-serif"/>
                  <w:b w:val="false"/>
                  <w:color w:val="0000FF"/>
                  <w:sz w:val="20"/>
                  <w:u w:val="single"/>
                </w:rPr>
                <w:t>Certification of the Principal Executive Officer pursuant to 18 U.S.C. Section 1350, as adopted pursuant to section 906 of the Sarbanes-Oxley Act of 2002.</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q2026conformed.htm">
              <w:r>
                <w:rPr>
                  <w:rStyle w:val="InternetLink"/>
                  <w:rFonts w:ascii="Arial;sans-serif" w:hAnsi="Arial;sans-serif"/>
                  <w:b w:val="false"/>
                  <w:color w:val="0000FF"/>
                  <w:sz w:val="20"/>
                  <w:u w:val="single"/>
                </w:rPr>
                <w:t>32.2</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2q2026conformed.htm">
              <w:r>
                <w:rPr>
                  <w:rStyle w:val="InternetLink"/>
                  <w:rFonts w:ascii="Arial;sans-serif" w:hAnsi="Arial;sans-serif"/>
                  <w:b w:val="false"/>
                  <w:color w:val="0000FF"/>
                  <w:sz w:val="20"/>
                  <w:u w:val="single"/>
                </w:rPr>
                <w:t>Certification of the Principal Financial Officer pursuant to 18 U.S.C. Section 1350, as adopted pursuant to section 906 of the Sarbanes-Oxley Act of 2002.</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450"/>
        <w:jc w:val="left"/>
        <w:rPr/>
      </w:pPr>
      <w:r>
        <w:rPr>
          <w:color w:val="000000"/>
        </w:rPr>
        <w:t xml:space="preserve">† </w:t>
      </w:r>
      <w:r>
        <w:rPr>
          <w:rFonts w:ascii="Arial;sans-serif" w:hAnsi="Arial;sans-serif"/>
          <w:b w:val="false"/>
          <w:color w:val="000000"/>
          <w:sz w:val="20"/>
        </w:rPr>
        <w:t>Filed herewith</w:t>
      </w:r>
    </w:p>
    <w:p>
      <w:pPr>
        <w:pStyle w:val="TextBody"/>
        <w:bidi w:val="0"/>
        <w:spacing w:lineRule="auto" w:line="276" w:before="0" w:after="0"/>
        <w:ind w:left="0" w:right="0" w:hanging="450"/>
        <w:jc w:val="left"/>
        <w:rPr/>
      </w:pPr>
      <w:r>
        <w:rPr>
          <w:color w:val="000000"/>
        </w:rPr>
        <w:t xml:space="preserve">†† </w:t>
      </w:r>
      <w:r>
        <w:rPr>
          <w:rFonts w:ascii="Arial;sans-serif" w:hAnsi="Arial;sans-serif"/>
          <w:b w:val="false"/>
          <w:color w:val="000000"/>
          <w:sz w:val="20"/>
        </w:rPr>
        <w:t>Furnished herewith</w:t>
      </w:r>
    </w:p>
    <w:p>
      <w:pPr>
        <w:pStyle w:val="TextBody"/>
        <w:bidi w:val="0"/>
        <w:spacing w:before="0" w:after="0"/>
        <w:ind w:left="0" w:right="0" w:hanging="450"/>
        <w:jc w:val="left"/>
        <w:rPr/>
      </w:pPr>
      <w:r>
        <w:rPr/>
      </w:r>
    </w:p>
    <w:p>
      <w:pPr>
        <w:pStyle w:val="TextBody"/>
        <w:bidi w:val="0"/>
        <w:spacing w:before="90" w:after="283"/>
        <w:ind w:left="0" w:right="0" w:hanging="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333"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 xml:space="preserve">I, Matt Herrington, certify that: </w:t>
      </w:r>
    </w:p>
    <w:p>
      <w:pPr>
        <w:pStyle w:val="TextBody"/>
        <w:bidi w:val="0"/>
        <w:spacing w:lineRule="auto" w:line="333" w:before="180" w:after="283"/>
        <w:ind w:left="0" w:right="0" w:hanging="450"/>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 xml:space="preserve">I have reviewed this Quarterly Report on Form 10-Q for the quarter ended June 30, 2026 of Brookfield Oaktree Holdings, LLC; </w:t>
      </w:r>
    </w:p>
    <w:p>
      <w:pPr>
        <w:pStyle w:val="TextBody"/>
        <w:bidi w:val="0"/>
        <w:spacing w:lineRule="auto" w:line="333" w:before="180" w:after="283"/>
        <w:ind w:left="0" w:right="0" w:hanging="450"/>
        <w:jc w:val="left"/>
        <w:rPr/>
      </w:pPr>
      <w:r>
        <w:rPr>
          <w:rFonts w:ascii="Arial;sans-serif" w:hAnsi="Arial;sans-serif"/>
          <w:b w:val="false"/>
          <w:color w:val="000000"/>
          <w:sz w:val="20"/>
        </w:rPr>
        <w:t>2.</w:t>
      </w:r>
      <w:r>
        <w:rPr>
          <w:color w:val="000000"/>
        </w:rPr>
        <w:t>    </w:t>
      </w:r>
      <w:r>
        <w:rPr>
          <w:rFonts w:ascii="Arial;sans-serif" w:hAnsi="Arial;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3" w:before="180" w:after="283"/>
        <w:ind w:left="0" w:right="0" w:hanging="450"/>
        <w:jc w:val="left"/>
        <w:rPr/>
      </w:pPr>
      <w:r>
        <w:rPr>
          <w:rFonts w:ascii="Arial;sans-serif" w:hAnsi="Arial;sans-serif"/>
          <w:b w:val="false"/>
          <w:color w:val="000000"/>
          <w:sz w:val="20"/>
        </w:rPr>
        <w:t>3.</w:t>
      </w:r>
      <w:r>
        <w:rPr>
          <w:color w:val="000000"/>
        </w:rPr>
        <w:t>    </w:t>
      </w:r>
      <w:r>
        <w:rPr>
          <w:rFonts w:ascii="Arial;sans-serif" w:hAnsi="Arial;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3" w:before="180" w:after="283"/>
        <w:ind w:left="0" w:right="0" w:hanging="450"/>
        <w:jc w:val="left"/>
        <w:rPr/>
      </w:pPr>
      <w:r>
        <w:rPr>
          <w:rFonts w:ascii="Arial;sans-serif" w:hAnsi="Arial;sans-serif"/>
          <w:b w:val="false"/>
          <w:color w:val="000000"/>
          <w:sz w:val="20"/>
        </w:rPr>
        <w:t>4.</w:t>
      </w:r>
      <w:r>
        <w:rPr>
          <w:color w:val="000000"/>
        </w:rPr>
        <w:t>    </w:t>
      </w:r>
      <w:r>
        <w:rPr>
          <w:rFonts w:ascii="Arial;sans-serif" w:hAnsi="Arial;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3" w:before="180" w:after="283"/>
        <w:ind w:left="0" w:right="0" w:hanging="450"/>
        <w:jc w:val="left"/>
        <w:rPr/>
      </w:pPr>
      <w:r>
        <w:rPr>
          <w:rFonts w:ascii="Arial;sans-serif" w:hAnsi="Arial;sans-serif"/>
          <w:b w:val="false"/>
          <w:color w:val="000000"/>
          <w:sz w:val="20"/>
        </w:rPr>
        <w:t>a)</w:t>
      </w:r>
      <w:r>
        <w:rPr>
          <w:color w:val="000000"/>
        </w:rPr>
        <w:t>    </w:t>
      </w:r>
      <w:r>
        <w:rPr>
          <w:rFonts w:ascii="Arial;sans-serif" w:hAnsi="Arial;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33" w:before="180" w:after="283"/>
        <w:ind w:left="0" w:right="0" w:hanging="450"/>
        <w:jc w:val="left"/>
        <w:rPr/>
      </w:pPr>
      <w:r>
        <w:rPr>
          <w:rFonts w:ascii="Arial;sans-serif" w:hAnsi="Arial;sans-serif"/>
          <w:b w:val="false"/>
          <w:color w:val="000000"/>
          <w:sz w:val="20"/>
        </w:rPr>
        <w:t>b)</w:t>
      </w:r>
      <w:r>
        <w:rPr>
          <w:color w:val="000000"/>
        </w:rPr>
        <w:t>    </w:t>
      </w:r>
      <w:r>
        <w:rPr>
          <w:rFonts w:ascii="Arial;sans-serif" w:hAnsi="Arial;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3" w:before="180" w:after="283"/>
        <w:ind w:left="0" w:right="0" w:hanging="450"/>
        <w:jc w:val="left"/>
        <w:rPr/>
      </w:pPr>
      <w:r>
        <w:rPr>
          <w:rFonts w:ascii="Arial;sans-serif" w:hAnsi="Arial;sans-serif"/>
          <w:b w:val="false"/>
          <w:color w:val="000000"/>
          <w:sz w:val="20"/>
        </w:rPr>
        <w:t>c)</w:t>
      </w:r>
      <w:r>
        <w:rPr>
          <w:color w:val="000000"/>
        </w:rPr>
        <w:t>    </w:t>
      </w:r>
      <w:r>
        <w:rPr>
          <w:rFonts w:ascii="Arial;sans-serif" w:hAnsi="Arial;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3" w:before="180" w:after="283"/>
        <w:ind w:left="0" w:right="0" w:hanging="450"/>
        <w:jc w:val="left"/>
        <w:rPr/>
      </w:pPr>
      <w:r>
        <w:rPr>
          <w:rFonts w:ascii="Arial;sans-serif" w:hAnsi="Arial;sans-serif"/>
          <w:b w:val="false"/>
          <w:color w:val="000000"/>
          <w:sz w:val="20"/>
        </w:rPr>
        <w:t>d)</w:t>
      </w:r>
      <w:r>
        <w:rPr>
          <w:color w:val="000000"/>
        </w:rPr>
        <w:t>    </w:t>
      </w:r>
      <w:r>
        <w:rPr>
          <w:rFonts w:ascii="Arial;sans-serif" w:hAnsi="Arial;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3" w:before="180" w:after="283"/>
        <w:ind w:left="0" w:right="0" w:hanging="450"/>
        <w:jc w:val="left"/>
        <w:rPr/>
      </w:pPr>
      <w:r>
        <w:rPr>
          <w:rFonts w:ascii="Arial;sans-serif" w:hAnsi="Arial;sans-serif"/>
          <w:b w:val="false"/>
          <w:color w:val="000000"/>
          <w:sz w:val="20"/>
        </w:rPr>
        <w:t>5.</w:t>
      </w:r>
      <w:r>
        <w:rPr>
          <w:color w:val="000000"/>
        </w:rPr>
        <w:t>    </w:t>
      </w:r>
      <w:r>
        <w:rPr>
          <w:rFonts w:ascii="Arial;sans-serif" w:hAnsi="Arial;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33" w:before="180" w:after="283"/>
        <w:ind w:left="0" w:right="0" w:hanging="450"/>
        <w:jc w:val="left"/>
        <w:rPr/>
      </w:pPr>
      <w:r>
        <w:rPr>
          <w:rFonts w:ascii="Arial;sans-serif" w:hAnsi="Arial;sans-serif"/>
          <w:b w:val="false"/>
          <w:color w:val="000000"/>
          <w:sz w:val="20"/>
        </w:rPr>
        <w:t>a)</w:t>
      </w:r>
      <w:r>
        <w:rPr>
          <w:color w:val="000000"/>
        </w:rPr>
        <w:t>    </w:t>
      </w:r>
      <w:r>
        <w:rPr>
          <w:rFonts w:ascii="Arial;sans-serif" w:hAnsi="Arial;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33" w:before="180" w:after="283"/>
        <w:ind w:left="0" w:right="0" w:hanging="450"/>
        <w:jc w:val="left"/>
        <w:rPr/>
      </w:pPr>
      <w:r>
        <w:rPr>
          <w:rFonts w:ascii="Arial;sans-serif" w:hAnsi="Arial;sans-serif"/>
          <w:b w:val="false"/>
          <w:color w:val="000000"/>
          <w:sz w:val="20"/>
        </w:rPr>
        <w:t>b)</w:t>
      </w:r>
      <w:r>
        <w:rPr>
          <w:color w:val="000000"/>
        </w:rPr>
        <w:t>    </w:t>
      </w:r>
      <w:r>
        <w:rPr>
          <w:rFonts w:ascii="Arial;sans-serif" w:hAnsi="Arial;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Date: August 11, 2026</w:t>
      </w:r>
    </w:p>
    <w:tbl>
      <w:tblPr>
        <w:tblW w:w="2609" w:type="dxa"/>
        <w:jc w:val="right"/>
        <w:tblInd w:w="0" w:type="dxa"/>
        <w:tblLayout w:type="fixed"/>
        <w:tblCellMar>
          <w:top w:w="28" w:type="dxa"/>
          <w:left w:w="28" w:type="dxa"/>
          <w:bottom w:w="28" w:type="dxa"/>
          <w:right w:w="28" w:type="dxa"/>
        </w:tblCellMar>
      </w:tblPr>
      <w:tblGrid>
        <w:gridCol w:w="833"/>
        <w:gridCol w:w="735"/>
        <w:gridCol w:w="1041"/>
      </w:tblGrid>
      <w:tr>
        <w:trPr/>
        <w:tc>
          <w:tcPr>
            <w:tcW w:w="8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 Herrington</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 Herrington</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Executive Officer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333" w:before="180" w:after="283"/>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 xml:space="preserve">I, Karly E. Dyck, certify that: </w:t>
      </w:r>
    </w:p>
    <w:p>
      <w:pPr>
        <w:pStyle w:val="TextBody"/>
        <w:bidi w:val="0"/>
        <w:spacing w:lineRule="auto" w:line="333" w:before="180" w:after="283"/>
        <w:ind w:left="0" w:right="0" w:hanging="450"/>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 xml:space="preserve">I have reviewed this Quarterly Report on Form 10-Q for the quarter ended June 30, 2026 of Brookfield Oaktree Holdings, LLC; </w:t>
      </w:r>
    </w:p>
    <w:p>
      <w:pPr>
        <w:pStyle w:val="TextBody"/>
        <w:bidi w:val="0"/>
        <w:spacing w:lineRule="auto" w:line="333" w:before="180" w:after="283"/>
        <w:ind w:left="0" w:right="0" w:hanging="450"/>
        <w:jc w:val="left"/>
        <w:rPr/>
      </w:pPr>
      <w:r>
        <w:rPr>
          <w:rFonts w:ascii="Arial;sans-serif" w:hAnsi="Arial;sans-serif"/>
          <w:b w:val="false"/>
          <w:color w:val="000000"/>
          <w:sz w:val="20"/>
        </w:rPr>
        <w:t>2.</w:t>
      </w:r>
      <w:r>
        <w:rPr>
          <w:color w:val="000000"/>
        </w:rPr>
        <w:t>    </w:t>
      </w:r>
      <w:r>
        <w:rPr>
          <w:rFonts w:ascii="Arial;sans-serif" w:hAnsi="Arial;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3" w:before="180" w:after="283"/>
        <w:ind w:left="0" w:right="0" w:hanging="450"/>
        <w:jc w:val="left"/>
        <w:rPr/>
      </w:pPr>
      <w:r>
        <w:rPr>
          <w:rFonts w:ascii="Arial;sans-serif" w:hAnsi="Arial;sans-serif"/>
          <w:b w:val="false"/>
          <w:color w:val="000000"/>
          <w:sz w:val="20"/>
        </w:rPr>
        <w:t>3.</w:t>
      </w:r>
      <w:r>
        <w:rPr>
          <w:color w:val="000000"/>
        </w:rPr>
        <w:t>    </w:t>
      </w:r>
      <w:r>
        <w:rPr>
          <w:rFonts w:ascii="Arial;sans-serif" w:hAnsi="Arial;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3" w:before="180" w:after="283"/>
        <w:ind w:left="0" w:right="0" w:hanging="450"/>
        <w:jc w:val="left"/>
        <w:rPr/>
      </w:pPr>
      <w:r>
        <w:rPr>
          <w:rFonts w:ascii="Arial;sans-serif" w:hAnsi="Arial;sans-serif"/>
          <w:b w:val="false"/>
          <w:color w:val="000000"/>
          <w:sz w:val="20"/>
        </w:rPr>
        <w:t>4.</w:t>
      </w:r>
      <w:r>
        <w:rPr>
          <w:color w:val="000000"/>
        </w:rPr>
        <w:t>    </w:t>
      </w:r>
      <w:r>
        <w:rPr>
          <w:rFonts w:ascii="Arial;sans-serif" w:hAnsi="Arial;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3" w:before="180" w:after="283"/>
        <w:ind w:left="0" w:right="0" w:hanging="450"/>
        <w:jc w:val="left"/>
        <w:rPr/>
      </w:pPr>
      <w:r>
        <w:rPr>
          <w:rFonts w:ascii="Arial;sans-serif" w:hAnsi="Arial;sans-serif"/>
          <w:b w:val="false"/>
          <w:color w:val="000000"/>
          <w:sz w:val="20"/>
        </w:rPr>
        <w:t>a)</w:t>
      </w:r>
      <w:r>
        <w:rPr>
          <w:color w:val="000000"/>
        </w:rPr>
        <w:t>    </w:t>
      </w:r>
      <w:r>
        <w:rPr>
          <w:rFonts w:ascii="Arial;sans-serif" w:hAnsi="Arial;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33" w:before="180" w:after="283"/>
        <w:ind w:left="0" w:right="0" w:hanging="450"/>
        <w:jc w:val="left"/>
        <w:rPr/>
      </w:pPr>
      <w:r>
        <w:rPr>
          <w:rFonts w:ascii="Arial;sans-serif" w:hAnsi="Arial;sans-serif"/>
          <w:b w:val="false"/>
          <w:color w:val="000000"/>
          <w:sz w:val="20"/>
        </w:rPr>
        <w:t>b)</w:t>
      </w:r>
      <w:r>
        <w:rPr>
          <w:color w:val="000000"/>
        </w:rPr>
        <w:t>    </w:t>
      </w:r>
      <w:r>
        <w:rPr>
          <w:rFonts w:ascii="Arial;sans-serif" w:hAnsi="Arial;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3" w:before="180" w:after="283"/>
        <w:ind w:left="0" w:right="0" w:hanging="450"/>
        <w:jc w:val="left"/>
        <w:rPr/>
      </w:pPr>
      <w:r>
        <w:rPr>
          <w:rFonts w:ascii="Arial;sans-serif" w:hAnsi="Arial;sans-serif"/>
          <w:b w:val="false"/>
          <w:color w:val="000000"/>
          <w:sz w:val="20"/>
        </w:rPr>
        <w:t>c)</w:t>
      </w:r>
      <w:r>
        <w:rPr>
          <w:color w:val="000000"/>
        </w:rPr>
        <w:t>    </w:t>
      </w:r>
      <w:r>
        <w:rPr>
          <w:rFonts w:ascii="Arial;sans-serif" w:hAnsi="Arial;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3" w:before="180" w:after="283"/>
        <w:ind w:left="0" w:right="0" w:hanging="450"/>
        <w:jc w:val="left"/>
        <w:rPr/>
      </w:pPr>
      <w:r>
        <w:rPr>
          <w:rFonts w:ascii="Arial;sans-serif" w:hAnsi="Arial;sans-serif"/>
          <w:b w:val="false"/>
          <w:color w:val="000000"/>
          <w:sz w:val="20"/>
        </w:rPr>
        <w:t>d)</w:t>
      </w:r>
      <w:r>
        <w:rPr>
          <w:color w:val="000000"/>
        </w:rPr>
        <w:t>    </w:t>
      </w:r>
      <w:r>
        <w:rPr>
          <w:rFonts w:ascii="Arial;sans-serif" w:hAnsi="Arial;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3" w:before="180" w:after="283"/>
        <w:ind w:left="0" w:right="0" w:hanging="450"/>
        <w:jc w:val="left"/>
        <w:rPr/>
      </w:pPr>
      <w:r>
        <w:rPr>
          <w:rFonts w:ascii="Arial;sans-serif" w:hAnsi="Arial;sans-serif"/>
          <w:b w:val="false"/>
          <w:color w:val="000000"/>
          <w:sz w:val="20"/>
        </w:rPr>
        <w:t>5.</w:t>
      </w:r>
      <w:r>
        <w:rPr>
          <w:color w:val="000000"/>
        </w:rPr>
        <w:t>    </w:t>
      </w:r>
      <w:r>
        <w:rPr>
          <w:rFonts w:ascii="Arial;sans-serif" w:hAnsi="Arial;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333" w:before="180" w:after="283"/>
        <w:ind w:left="0" w:right="0" w:hanging="450"/>
        <w:jc w:val="left"/>
        <w:rPr/>
      </w:pPr>
      <w:r>
        <w:rPr>
          <w:rFonts w:ascii="Arial;sans-serif" w:hAnsi="Arial;sans-serif"/>
          <w:b w:val="false"/>
          <w:color w:val="000000"/>
          <w:sz w:val="20"/>
        </w:rPr>
        <w:t>a)</w:t>
      </w:r>
      <w:r>
        <w:rPr>
          <w:color w:val="000000"/>
        </w:rPr>
        <w:t>    </w:t>
      </w:r>
      <w:r>
        <w:rPr>
          <w:rFonts w:ascii="Arial;sans-serif" w:hAnsi="Arial;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333" w:before="180" w:after="283"/>
        <w:ind w:left="0" w:right="0" w:hanging="450"/>
        <w:jc w:val="left"/>
        <w:rPr/>
      </w:pPr>
      <w:r>
        <w:rPr>
          <w:rFonts w:ascii="Arial;sans-serif" w:hAnsi="Arial;sans-serif"/>
          <w:b w:val="false"/>
          <w:color w:val="000000"/>
          <w:sz w:val="20"/>
        </w:rPr>
        <w:t>b)</w:t>
      </w:r>
      <w:r>
        <w:rPr>
          <w:color w:val="000000"/>
        </w:rPr>
        <w:t>    </w:t>
      </w:r>
      <w:r>
        <w:rPr>
          <w:rFonts w:ascii="Arial;sans-serif" w:hAnsi="Arial;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Date: August 11, 2026</w:t>
      </w:r>
    </w:p>
    <w:tbl>
      <w:tblPr>
        <w:tblW w:w="2519" w:type="dxa"/>
        <w:jc w:val="right"/>
        <w:tblInd w:w="0" w:type="dxa"/>
        <w:tblLayout w:type="fixed"/>
        <w:tblCellMar>
          <w:top w:w="28" w:type="dxa"/>
          <w:left w:w="28" w:type="dxa"/>
          <w:bottom w:w="28" w:type="dxa"/>
          <w:right w:w="28" w:type="dxa"/>
        </w:tblCellMar>
      </w:tblPr>
      <w:tblGrid>
        <w:gridCol w:w="805"/>
        <w:gridCol w:w="707"/>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Karly E. Dyck</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Karly E. Dyck</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333"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333"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Brookfield Oaktree Holdings, LLC (the “Company”) for the quarter ended June 30, 2026 as filed with the Securities and Exchange Commission on the date hereof (the “Report”), I, Matt Herrington, certify, pursuant to 18 U.S.C. § 1350, as adopted pursuant to Section 906 of the Sarbanes-Oxley Act of 2002, that: </w:t>
      </w:r>
    </w:p>
    <w:p>
      <w:pPr>
        <w:pStyle w:val="TextBody"/>
        <w:bidi w:val="0"/>
        <w:spacing w:lineRule="auto" w:line="333" w:before="180" w:after="283"/>
        <w:ind w:left="0" w:right="0" w:hanging="450"/>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 xml:space="preserve">The Report fully complies with the requirements of Section 13(a) or 15(d) of the Securities Exchange Act of 1934, as amended; and </w:t>
      </w:r>
    </w:p>
    <w:p>
      <w:pPr>
        <w:pStyle w:val="TextBody"/>
        <w:bidi w:val="0"/>
        <w:spacing w:lineRule="auto" w:line="333" w:before="180" w:after="283"/>
        <w:ind w:left="0" w:right="0" w:hanging="450"/>
        <w:jc w:val="left"/>
        <w:rPr/>
      </w:pPr>
      <w:r>
        <w:rPr>
          <w:rFonts w:ascii="Arial;sans-serif" w:hAnsi="Arial;sans-serif"/>
          <w:b w:val="false"/>
          <w:color w:val="000000"/>
          <w:sz w:val="20"/>
        </w:rPr>
        <w:t>(2)</w:t>
      </w:r>
      <w:r>
        <w:rPr>
          <w:color w:val="000000"/>
        </w:rPr>
        <w:t>    </w:t>
      </w:r>
      <w:r>
        <w:rPr>
          <w:rFonts w:ascii="Arial;sans-serif" w:hAnsi="Arial;sans-serif"/>
          <w:b w:val="false"/>
          <w:color w:val="000000"/>
          <w:sz w:val="20"/>
        </w:rPr>
        <w:t xml:space="preserve">The information contained in the Report fairly presents, in all material respects, the financial condition and results of operations of the Company at the dates and for the periods presented. </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Date: August 11, 2026</w:t>
      </w:r>
    </w:p>
    <w:tbl>
      <w:tblPr>
        <w:tblW w:w="10205" w:type="dxa"/>
        <w:jc w:val="left"/>
        <w:tblInd w:w="0" w:type="dxa"/>
        <w:tblLayout w:type="fixed"/>
        <w:tblCellMar>
          <w:top w:w="28" w:type="dxa"/>
          <w:left w:w="28" w:type="dxa"/>
          <w:bottom w:w="28" w:type="dxa"/>
          <w:right w:w="28" w:type="dxa"/>
        </w:tblCellMar>
      </w:tblPr>
      <w:tblGrid>
        <w:gridCol w:w="3124"/>
        <w:gridCol w:w="2743"/>
        <w:gridCol w:w="2751"/>
        <w:gridCol w:w="463"/>
        <w:gridCol w:w="463"/>
        <w:gridCol w:w="661"/>
      </w:tblGrid>
      <w:tr>
        <w:trPr/>
        <w:tc>
          <w:tcPr>
            <w:tcW w:w="312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8618" w:type="dxa"/>
            <w:gridSpan w:val="3"/>
            <w:vMerge w:val="restart"/>
            <w:tcBorders/>
            <w:tcMar>
              <w:top w:w="0" w:type="dxa"/>
              <w:left w:w="0" w:type="dxa"/>
              <w:bottom w:w="0" w:type="dxa"/>
              <w:right w:w="0" w:type="dxa"/>
            </w:tcMar>
            <w:vAlign w:val="center"/>
          </w:tcPr>
          <w:p>
            <w:pPr>
              <w:pStyle w:val="TableContents"/>
              <w:bidi w:val="0"/>
              <w:spacing w:lineRule="auto" w:line="333" w:before="80" w:after="283"/>
              <w:ind w:left="0" w:right="0" w:firstLine="945"/>
              <w:jc w:val="left"/>
              <w:rPr>
                <w:rFonts w:ascii="Arial;sans-serif" w:hAnsi="Arial;sans-serif"/>
                <w:b w:val="false"/>
                <w:color w:val="000000"/>
                <w:sz w:val="20"/>
              </w:rPr>
            </w:pPr>
            <w:r>
              <w:rPr>
                <w:rFonts w:ascii="Arial;sans-serif" w:hAnsi="Arial;sans-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tc>
        <w:tc>
          <w:tcPr>
            <w:tcW w:w="1587" w:type="dxa"/>
            <w:gridSpan w:val="3"/>
            <w:tcBorders/>
            <w:tcMar>
              <w:top w:w="0" w:type="dxa"/>
              <w:left w:w="0" w:type="dxa"/>
              <w:bottom w:w="0" w:type="dxa"/>
              <w:right w:w="0" w:type="dxa"/>
            </w:tcMar>
            <w:vAlign w:val="center"/>
          </w:tcPr>
          <w:p>
            <w:pPr>
              <w:pStyle w:val="TableContents"/>
              <w:bidi w:val="0"/>
              <w:spacing w:lineRule="auto" w:line="288" w:before="75" w:after="30"/>
              <w:jc w:val="left"/>
              <w:rPr/>
            </w:pPr>
            <w:r>
              <w:rPr>
                <w:color w:val="000000"/>
              </w:rPr>
              <w:t>  </w:t>
            </w:r>
            <w:r>
              <w:rPr>
                <w:rFonts w:ascii="Arial;sans-serif" w:hAnsi="Arial;sans-serif"/>
                <w:b w:val="false"/>
                <w:color w:val="000000"/>
                <w:sz w:val="20"/>
              </w:rPr>
              <w:t>/s/ Matt Herrington</w:t>
            </w:r>
          </w:p>
        </w:tc>
      </w:tr>
      <w:tr>
        <w:trPr/>
        <w:tc>
          <w:tcPr>
            <w:tcW w:w="8618" w:type="dxa"/>
            <w:gridSpan w:val="3"/>
            <w:vMerge w:val="continue"/>
            <w:tcBorders/>
            <w:tcMar>
              <w:top w:w="0" w:type="dxa"/>
              <w:left w:w="0" w:type="dxa"/>
              <w:bottom w:w="0" w:type="dxa"/>
              <w:right w:w="0" w:type="dxa"/>
            </w:tcMar>
            <w:vAlign w:val="center"/>
          </w:tcPr>
          <w:p>
            <w:pPr>
              <w:pStyle w:val="Normal"/>
              <w:bidi w:val="0"/>
              <w:jc w:val="left"/>
              <w:rPr/>
            </w:pPr>
            <w:r>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 Herrington</w:t>
            </w:r>
          </w:p>
        </w:tc>
      </w:tr>
      <w:tr>
        <w:trPr/>
        <w:tc>
          <w:tcPr>
            <w:tcW w:w="8618" w:type="dxa"/>
            <w:gridSpan w:val="3"/>
            <w:vMerge w:val="continue"/>
            <w:tcBorders/>
            <w:tcMar>
              <w:top w:w="0" w:type="dxa"/>
              <w:left w:w="0" w:type="dxa"/>
              <w:bottom w:w="0" w:type="dxa"/>
              <w:right w:w="0" w:type="dxa"/>
            </w:tcMar>
            <w:vAlign w:val="center"/>
          </w:tcPr>
          <w:p>
            <w:pPr>
              <w:pStyle w:val="Normal"/>
              <w:bidi w:val="0"/>
              <w:jc w:val="left"/>
              <w:rPr/>
            </w:pPr>
            <w:r>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Executive Officer</w:t>
            </w:r>
          </w:p>
        </w:tc>
      </w:tr>
      <w:tr>
        <w:trPr/>
        <w:tc>
          <w:tcPr>
            <w:tcW w:w="8618" w:type="dxa"/>
            <w:gridSpan w:val="3"/>
            <w:vMerge w:val="continue"/>
            <w:tcBorders/>
            <w:tcMar>
              <w:top w:w="0" w:type="dxa"/>
              <w:left w:w="0" w:type="dxa"/>
              <w:bottom w:w="0" w:type="dxa"/>
              <w:right w:w="0" w:type="dxa"/>
            </w:tcMar>
            <w:vAlign w:val="center"/>
          </w:tcPr>
          <w:p>
            <w:pPr>
              <w:pStyle w:val="Normal"/>
              <w:bidi w:val="0"/>
              <w:jc w:val="left"/>
              <w:rPr/>
            </w:pPr>
            <w:r>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lineRule="auto" w:line="333" w:before="0" w:after="0"/>
        <w:jc w:val="right"/>
        <w:rPr>
          <w:color w:val="000000"/>
        </w:rPr>
      </w:pPr>
      <w:r>
        <w:rPr>
          <w:color w:val="000000"/>
        </w:rPr>
        <w:t> </w:t>
      </w:r>
    </w:p>
    <w:p>
      <w:pPr>
        <w:pStyle w:val="TextBody"/>
        <w:bidi w:val="0"/>
        <w:spacing w:lineRule="auto" w:line="333" w:before="180" w:after="283"/>
        <w:ind w:left="0" w:right="0" w:firstLine="945"/>
        <w:jc w:val="left"/>
        <w:rPr>
          <w:rFonts w:ascii="Arial;sans-serif" w:hAnsi="Arial;sans-serif"/>
          <w:b w:val="false"/>
          <w:color w:val="000000"/>
          <w:sz w:val="20"/>
        </w:rPr>
      </w:pPr>
      <w:r>
        <w:rPr>
          <w:rFonts w:ascii="Arial;sans-serif" w:hAnsi="Arial;sans-serif"/>
          <w:b w:val="false"/>
          <w:color w:val="000000"/>
          <w:sz w:val="20"/>
        </w:rPr>
        <w:t xml:space="preserve">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w:t>
      </w:r>
    </w:p>
    <w:p>
      <w:pPr>
        <w:pStyle w:val="TextBody"/>
        <w:bidi w:val="0"/>
        <w:spacing w:before="180" w:after="283"/>
        <w:ind w:left="0" w:right="0" w:firstLine="945"/>
        <w:jc w:val="left"/>
        <w:rPr/>
      </w:pPr>
      <w:r>
        <w:rPr/>
      </w:r>
    </w:p>
    <w:p>
      <w:pPr>
        <w:pStyle w:val="TextBody"/>
        <w:bidi w:val="0"/>
        <w:spacing w:lineRule="auto" w:line="333" w:before="18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333" w:before="18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333"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Brookfield Oaktree Holdings, LLC (the “Company”) for the quarter ended June 30, 2026 as filed with the Securities and Exchange Commission on the date hereof (the “Report”), I, Karly E. Dyck, certify, pursuant to 18 U.S.C. § 1350, as adopted pursuant to Section 906 of the Sarbanes-Oxley Act of 2002, that: </w:t>
      </w:r>
    </w:p>
    <w:p>
      <w:pPr>
        <w:pStyle w:val="TextBody"/>
        <w:bidi w:val="0"/>
        <w:spacing w:lineRule="auto" w:line="333" w:before="180" w:after="283"/>
        <w:ind w:left="0" w:right="0" w:hanging="450"/>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 xml:space="preserve">The Report fully complies with the requirements of Section 13(a) or 15(d) of the Securities Exchange Act of 1934, as amended; and </w:t>
      </w:r>
    </w:p>
    <w:p>
      <w:pPr>
        <w:pStyle w:val="TextBody"/>
        <w:bidi w:val="0"/>
        <w:spacing w:lineRule="auto" w:line="333" w:before="180" w:after="283"/>
        <w:ind w:left="0" w:right="0" w:hanging="450"/>
        <w:jc w:val="left"/>
        <w:rPr/>
      </w:pPr>
      <w:r>
        <w:rPr>
          <w:rFonts w:ascii="Arial;sans-serif" w:hAnsi="Arial;sans-serif"/>
          <w:b w:val="false"/>
          <w:color w:val="000000"/>
          <w:sz w:val="20"/>
        </w:rPr>
        <w:t>(2)</w:t>
      </w:r>
      <w:r>
        <w:rPr>
          <w:color w:val="000000"/>
        </w:rPr>
        <w:t>    </w:t>
      </w:r>
      <w:r>
        <w:rPr>
          <w:rFonts w:ascii="Arial;sans-serif" w:hAnsi="Arial;sans-serif"/>
          <w:b w:val="false"/>
          <w:color w:val="000000"/>
          <w:sz w:val="20"/>
        </w:rPr>
        <w:t xml:space="preserve">The information contained in the Report fairly presents, in all material respects, the financial condition and results of operations of the Company at the dates and for the periods presented. </w:t>
      </w:r>
    </w:p>
    <w:p>
      <w:pPr>
        <w:pStyle w:val="TextBody"/>
        <w:bidi w:val="0"/>
        <w:spacing w:lineRule="auto" w:line="333" w:before="180" w:after="283"/>
        <w:jc w:val="left"/>
        <w:rPr>
          <w:rFonts w:ascii="Arial;sans-serif" w:hAnsi="Arial;sans-serif"/>
          <w:b w:val="false"/>
          <w:color w:val="000000"/>
          <w:sz w:val="20"/>
        </w:rPr>
      </w:pPr>
      <w:r>
        <w:rPr>
          <w:rFonts w:ascii="Arial;sans-serif" w:hAnsi="Arial;sans-serif"/>
          <w:b w:val="false"/>
          <w:color w:val="000000"/>
          <w:sz w:val="20"/>
        </w:rPr>
        <w:t>Date: August 11, 2026</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3151"/>
        <w:gridCol w:w="2766"/>
        <w:gridCol w:w="2774"/>
        <w:gridCol w:w="606"/>
        <w:gridCol w:w="374"/>
        <w:gridCol w:w="534"/>
      </w:tblGrid>
      <w:tr>
        <w:trPr/>
        <w:tc>
          <w:tcPr>
            <w:tcW w:w="3151"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8691" w:type="dxa"/>
            <w:gridSpan w:val="3"/>
            <w:vMerge w:val="restart"/>
            <w:tcBorders/>
            <w:tcMar>
              <w:top w:w="0" w:type="dxa"/>
              <w:left w:w="0" w:type="dxa"/>
              <w:bottom w:w="0" w:type="dxa"/>
              <w:right w:w="0" w:type="dxa"/>
            </w:tcMar>
            <w:vAlign w:val="center"/>
          </w:tcPr>
          <w:p>
            <w:pPr>
              <w:pStyle w:val="TableContents"/>
              <w:bidi w:val="0"/>
              <w:spacing w:lineRule="auto" w:line="333" w:before="80" w:after="283"/>
              <w:ind w:left="0" w:right="0" w:firstLine="945"/>
              <w:jc w:val="left"/>
              <w:rPr>
                <w:rFonts w:ascii="Arial;sans-serif" w:hAnsi="Arial;sans-serif"/>
                <w:b w:val="false"/>
                <w:color w:val="000000"/>
                <w:sz w:val="20"/>
              </w:rPr>
            </w:pPr>
            <w:r>
              <w:rPr>
                <w:rFonts w:ascii="Arial;sans-serif" w:hAnsi="Arial;sans-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tc>
        <w:tc>
          <w:tcPr>
            <w:tcW w:w="1514" w:type="dxa"/>
            <w:gridSpan w:val="3"/>
            <w:tcBorders/>
            <w:tcMar>
              <w:top w:w="0" w:type="dxa"/>
              <w:left w:w="0" w:type="dxa"/>
              <w:bottom w:w="0" w:type="dxa"/>
              <w:right w:w="0" w:type="dxa"/>
            </w:tcMar>
            <w:vAlign w:val="center"/>
          </w:tcPr>
          <w:p>
            <w:pPr>
              <w:pStyle w:val="TableContents"/>
              <w:bidi w:val="0"/>
              <w:spacing w:lineRule="auto" w:line="288" w:before="55" w:after="30"/>
              <w:jc w:val="left"/>
              <w:rPr/>
            </w:pPr>
            <w:r>
              <w:rPr>
                <w:color w:val="000000"/>
              </w:rPr>
              <w:t>  </w:t>
            </w:r>
            <w:r>
              <w:rPr>
                <w:rFonts w:ascii="Arial;sans-serif" w:hAnsi="Arial;sans-serif"/>
                <w:b w:val="false"/>
                <w:color w:val="000000"/>
                <w:sz w:val="20"/>
              </w:rPr>
              <w:t>/s/ Karly E. Dyck</w:t>
            </w:r>
          </w:p>
        </w:tc>
      </w:tr>
      <w:tr>
        <w:trPr/>
        <w:tc>
          <w:tcPr>
            <w:tcW w:w="8691" w:type="dxa"/>
            <w:gridSpan w:val="3"/>
            <w:vMerge w:val="continue"/>
            <w:tcBorders/>
            <w:tcMar>
              <w:top w:w="0" w:type="dxa"/>
              <w:left w:w="0" w:type="dxa"/>
              <w:bottom w:w="0" w:type="dxa"/>
              <w:right w:w="0" w:type="dxa"/>
            </w:tcMar>
            <w:vAlign w:val="center"/>
          </w:tcPr>
          <w:p>
            <w:pPr>
              <w:pStyle w:val="Normal"/>
              <w:bidi w:val="0"/>
              <w:jc w:val="left"/>
              <w:rPr/>
            </w:pPr>
            <w:r>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Karly E. Dyck</w:t>
            </w:r>
          </w:p>
        </w:tc>
      </w:tr>
      <w:tr>
        <w:trPr/>
        <w:tc>
          <w:tcPr>
            <w:tcW w:w="8691" w:type="dxa"/>
            <w:gridSpan w:val="3"/>
            <w:vMerge w:val="continue"/>
            <w:tcBorders/>
            <w:tcMar>
              <w:top w:w="0" w:type="dxa"/>
              <w:left w:w="0" w:type="dxa"/>
              <w:bottom w:w="0" w:type="dxa"/>
              <w:right w:w="0" w:type="dxa"/>
            </w:tcMar>
            <w:vAlign w:val="center"/>
          </w:tcPr>
          <w:p>
            <w:pPr>
              <w:pStyle w:val="Normal"/>
              <w:bidi w:val="0"/>
              <w:jc w:val="left"/>
              <w:rPr/>
            </w:pPr>
            <w:r>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8691" w:type="dxa"/>
            <w:gridSpan w:val="3"/>
            <w:vMerge w:val="continue"/>
            <w:tcBorders/>
            <w:tcMar>
              <w:top w:w="0" w:type="dxa"/>
              <w:left w:w="0" w:type="dxa"/>
              <w:bottom w:w="0" w:type="dxa"/>
              <w:right w:w="0" w:type="dxa"/>
            </w:tcMar>
            <w:vAlign w:val="center"/>
          </w:tcPr>
          <w:p>
            <w:pPr>
              <w:pStyle w:val="Normal"/>
              <w:bidi w:val="0"/>
              <w:jc w:val="left"/>
              <w:rPr/>
            </w:pPr>
            <w:r>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180" w:after="283"/>
        <w:jc w:val="left"/>
        <w:rPr/>
      </w:pPr>
      <w:r>
        <w:rPr/>
      </w:r>
    </w:p>
    <w:p>
      <w:pPr>
        <w:pStyle w:val="TextBody"/>
        <w:bidi w:val="0"/>
        <w:spacing w:lineRule="auto" w:line="333" w:before="180" w:after="283"/>
        <w:ind w:left="0" w:right="0" w:firstLine="945"/>
        <w:jc w:val="left"/>
        <w:rPr>
          <w:rFonts w:ascii="Arial;sans-serif" w:hAnsi="Arial;sans-serif"/>
          <w:b w:val="false"/>
          <w:color w:val="000000"/>
          <w:sz w:val="20"/>
        </w:rPr>
      </w:pPr>
      <w:r>
        <w:rPr>
          <w:rFonts w:ascii="Arial;sans-serif" w:hAnsi="Arial;sans-serif"/>
          <w:b w:val="false"/>
          <w:color w:val="000000"/>
          <w:sz w:val="20"/>
        </w:rPr>
        <w:t xml:space="preserve">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w:t>
      </w:r>
    </w:p>
    <w:p>
      <w:pPr>
        <w:pStyle w:val="TextBody"/>
        <w:bidi w:val="0"/>
        <w:spacing w:before="180" w:after="283"/>
        <w:ind w:left="0" w:right="0" w:firstLine="945"/>
        <w:jc w:val="left"/>
        <w:rPr/>
      </w:pPr>
      <w:r>
        <w:rPr/>
      </w:r>
    </w:p>
    <w:p>
      <w:pPr>
        <w:pStyle w:val="TextBody"/>
        <w:bidi w:val="0"/>
        <w:spacing w:lineRule="auto" w:line="333" w:before="180" w:after="283"/>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3528/000140352826000015/exhibit.htm" TargetMode="External"/><Relationship Id="rId3" Type="http://schemas.openxmlformats.org/officeDocument/2006/relationships/hyperlink" Target="https://www.sec.gov/Archives/edgar/data/1403528/000140352826000015/exhibit.htm" TargetMode="External"/><Relationship Id="rId4" Type="http://schemas.openxmlformats.org/officeDocument/2006/relationships/hyperlink" Target="https://www.sec.gov/Archives/edgar/data/1403528/000140352824000019/a31.htm" TargetMode="External"/><Relationship Id="rId5" Type="http://schemas.openxmlformats.org/officeDocument/2006/relationships/hyperlink" Target="https://www.sec.gov/Archives/edgar/data/1403528/000140352824000019/a31.htm" TargetMode="External"/><Relationship Id="rId6" Type="http://schemas.openxmlformats.org/officeDocument/2006/relationships/hyperlink" Target="https://www.sec.gov/Archives/edgar/data/1403528/000140352826000068/exhibit32combinedwdesk.htm" TargetMode="External"/><Relationship Id="rId7" Type="http://schemas.openxmlformats.org/officeDocument/2006/relationships/hyperlink" Target="https://www.sec.gov/Archives/edgar/data/1403528/000140352826000068/exhibit32combinedwdesk.htm" TargetMode="External"/><Relationship Id="rId8" Type="http://schemas.openxmlformats.org/officeDocument/2006/relationships/hyperlink" Target="https://www.sec.gov/Archives/edgar/data/1403528/000140352826000019/exhibitntrdistribution.htm" TargetMode="External"/><Relationship Id="rId9" Type="http://schemas.openxmlformats.org/officeDocument/2006/relationships/hyperlink" Target="https://www.sec.gov/Archives/edgar/data/1403528/000140352826000019/exhibitntrdistribution.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28848</Words>
  <Characters>164304</Characters>
  <CharactersWithSpaces>191575</CharactersWithSpaces>
  <Paragraphs>3451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