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Battalion Oil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Richard Ting</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Oaktree Capital Management, L.P., 333 S. Grand Avenue, 28th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Los Angeles, CA, 90071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(213) 830-6300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OCM HLCN Holdings,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3"/>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12,437,521.00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12,437,521.00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12,437,521.00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40.82 %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reported securities include 8,446,746 shares of Common Stock issuable upon conversion or redemption of the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shares of Preferred Stock (as defined below) directly held by OCM HLCN Holdings, L.P. ("OCM HLCN"). All</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calculations of percentage ownership herein are based upon an aggregate of 22,018,849 shares of Common Stock</w:t>
            </w:r>
          </w:p>
        </w:tc>
      </w:tr>
    </w:tbl>
    <w:p>
      <w:pPr>
        <w:jc w:val="both"/>
        <w:ind w:right="20"/>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outstanding as of May 8, 2026 as set forth in the Quarterly Report on Form 10-Q filed by the Issuer with the SEC on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May 13, 2026 (the "10-Q"), plus 8,446,746 shares of Common Stock issuable upon conversion or redemption of shares</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of Preferred Stock beneficially owned by the Reporting Persons.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Oaktree Fund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6"/>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4" w:lineRule="exact"/>
        <w:rPr>
          <w:rFonts w:ascii="Times New Roman" w:cs="Times New Roman" w:eastAsia="Times New Roman" w:hAnsi="Times New Roman"/>
          <w:sz w:val="37"/>
          <w:szCs w:val="37"/>
          <w:color w:val="auto"/>
          <w:vertAlign w:val="subscript"/>
        </w:rPr>
      </w:pPr>
    </w:p>
    <w:p>
      <w:pPr>
        <w:ind w:left="1160"/>
        <w:spacing w:after="0"/>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2" w:name="page3"/>
    <w:bookmarkEnd w:id="2"/>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12,437,521.00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12,437,521.00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12,437,521.00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40.82 %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reported securities include 8,446,746 shares of Common Stock issuable upon conversion or redemption of the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0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shares of Preferred Stock (as defined below) directly held by OCM HLCN. All calculations of percentage ownership</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0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herein are based upon an aggregate of 22,018,849 shares of Common Stock outstanding as of May 8, 2026 as set forth</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in the Form 10-Q filed by the Issuer with the SEC on May 13, 2026, plus 8,446,746 shares of Common Stock issuable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upon conversion or redemption of shares of Preferred Stock beneficially owned by the Reporting Persons.</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Oaktree Fund GP 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10"/>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240" w:type="dxa"/>
            <w:vAlign w:val="bottom"/>
            <w:vMerge w:val="restart"/>
          </w:tcPr>
          <w:p>
            <w:pPr>
              <w:jc w:val="right"/>
              <w:ind w:right="189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12,437,521.00</w:t>
            </w: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11" w:right="359" w:bottom="0" w:gutter="0" w:footer="0" w:header="0"/>
        </w:sectPr>
      </w:pPr>
    </w:p>
    <w:bookmarkStart w:id="3" w:name="page4"/>
    <w:bookmarkEnd w:id="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64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60" w:type="dxa"/>
            <w:vAlign w:val="bottom"/>
          </w:tcPr>
          <w:p>
            <w:pPr>
              <w:spacing w:after="0"/>
              <w:rPr>
                <w:sz w:val="22"/>
                <w:szCs w:val="22"/>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860" w:type="dxa"/>
            <w:vAlign w:val="bottom"/>
          </w:tcPr>
          <w:p>
            <w:pPr>
              <w:spacing w:after="0"/>
              <w:rPr>
                <w:sz w:val="24"/>
                <w:szCs w:val="24"/>
                <w:color w:val="auto"/>
              </w:rPr>
            </w:pPr>
          </w:p>
        </w:tc>
        <w:tc>
          <w:tcPr>
            <w:tcW w:w="7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12,437,521.00</w:t>
            </w:r>
          </w:p>
        </w:tc>
        <w:tc>
          <w:tcPr>
            <w:tcW w:w="0" w:type="dxa"/>
            <w:vAlign w:val="bottom"/>
          </w:tcPr>
          <w:p>
            <w:pPr>
              <w:spacing w:after="0"/>
              <w:rPr>
                <w:sz w:val="1"/>
                <w:szCs w:val="1"/>
                <w:color w:val="auto"/>
              </w:rPr>
            </w:pPr>
          </w:p>
        </w:tc>
      </w:tr>
      <w:tr>
        <w:trPr>
          <w:trHeight w:val="338"/>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12,437,521.00</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40.82 %</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6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860" w:type="dxa"/>
            <w:vAlign w:val="bottom"/>
            <w:vMerge w:val="continue"/>
          </w:tcPr>
          <w:p>
            <w:pPr>
              <w:spacing w:after="0"/>
              <w:rPr>
                <w:sz w:val="21"/>
                <w:szCs w:val="2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1"/>
                <w:szCs w:val="21"/>
                <w:color w:val="auto"/>
              </w:rPr>
            </w:pPr>
          </w:p>
        </w:tc>
        <w:tc>
          <w:tcPr>
            <w:tcW w:w="7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reported securities include 8,446,746 shares of Common Stock issuable upon conversion or redemption of the</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0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shares of Preferred Stock (as defined below) directly held by OCM HLCN. All calculations of percentage ownership</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0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herein are based upon an aggregate of 22,018,849 shares of Common Stock outstanding as of May 8, 2026 as set forth</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in the Form 10-Q filed by the Issuer with the SEC on May 13, 2026, plus 8,446,746 shares of Common Stock issuable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upon conversion or redemption of shares of Preferred Stock beneficially owned by the Reporting Persons.</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Oaktree Capital 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02"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12,437,521.00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12,437,521.00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12,437,521.00</w:t>
      </w:r>
    </w:p>
    <w:p>
      <w:pPr>
        <w:sectPr>
          <w:pgSz w:w="11900" w:h="16838" w:orient="portrait"/>
          <w:cols w:equalWidth="0" w:num="2">
            <w:col w:w="1100" w:space="60"/>
            <w:col w:w="10060"/>
          </w:cols>
          <w:pgMar w:left="320" w:top="102" w:right="359" w:bottom="0" w:gutter="0" w:footer="0" w:header="0"/>
          <w:type w:val="continuous"/>
        </w:sectPr>
      </w:pPr>
    </w:p>
    <w:bookmarkStart w:id="4" w:name="page5"/>
    <w:bookmarkEnd w:id="4"/>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40.82 %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reported securities include 8,446,746 shares of Common Stock issuable upon conversion or redemption of the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0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shares of Preferred Stock (as defined below) directly held by OCM HLCN. All calculations of percentage ownership</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0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herein are based upon an aggregate of 22,018,849 shares of Common Stock outstanding as of May 8, 2026 as set forth</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in the Form 10-Q filed by the Issuer with the SEC on May 13, 2026, plus 8,446,746 shares of Common Stock issuable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upon conversion or redemption of shares of Preferred Stock beneficially owned by the Reporting Persons.</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Brookfield OCM Holdings 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2"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12,437,521.00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12,437,521.00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12,437,521.00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100" w:space="60"/>
            <w:col w:w="10060"/>
          </w:cols>
          <w:pgMar w:left="320" w:top="112" w:right="35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reported securities include 8,446,746 shares of Common Stock issuable upon conversion or redemption of the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0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shares of Preferred Stock (as defined below) directly held by OCM HLCN. All calculations of percentage ownership</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0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herein are based upon an aggregate of 22,018,849 shares of Common Stock outstanding as of May 8, 2026 as set forth</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in the Form 10-Q filed by the Issuer with the SEC on May 13, 2026, plus 8,446,746 shares of Common Stock issuable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upon conversion or redemption of shares of Preferred Stock beneficially owned by the Reporting Persons.</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Brookfield OCM Holdings,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15"/>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12,437,521.00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12,437,521.00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12,437,521.00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40.82 %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reported securities include 8,446,746 shares of Common Stock issuable upon conversion or redemption of the</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0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shares of Preferred Stock (as defined below) directly held by OCM HLCN. All calculations of percentage ownership</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0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herein are based upon an aggregate of 22,018,849 shares of Common Stock outstanding as of May 8, 2026 as set forth</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in the Form 10-Q filed by the Issuer with the SEC on May 13, 2026, plus 8,446,746 shares of Common Stock issuable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upon conversion or redemption of shares of Preferred Stock beneficially owned by the Reporting Persons.</w:t>
      </w:r>
    </w:p>
    <w:p>
      <w:pPr>
        <w:sectPr>
          <w:pgSz w:w="11900" w:h="16838" w:orient="portrait"/>
          <w:cols w:equalWidth="0" w:num="1">
            <w:col w:w="11220"/>
          </w:cols>
          <w:pgMar w:left="320" w:top="355" w:right="359" w:bottom="389" w:gutter="0" w:footer="0" w:header="0"/>
        </w:sectPr>
      </w:pPr>
    </w:p>
    <w:bookmarkStart w:id="6" w:name="page7"/>
    <w:bookmarkEnd w:id="6"/>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Brookfield Oaktree Holdings,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18"/>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12,437,521.00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12,437,521.00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12,437,521.00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40.82 %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reported securities include 8,446,746 shares of Common Stock issuable upon conversion or redemption of the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0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shares of Preferred Stock (as defined below) directly held by OCM HLCN. All calculations of percentage ownership</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0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herein are based upon an aggregate of 22,018,849 shares of Common Stock outstanding as of May 8, 2026 as set forth</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in the Form 10-Q filed by the Issuer with the SEC on May 13, 2026, plus 8,446,746 shares of Common Stock issuable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upon conversion or redemption of shares of Preferred Stock beneficially owned by the Reporting Persons.</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Oaktree Capital Group Holdings GP, LLC</w:t>
      </w:r>
    </w:p>
    <w:p>
      <w:pPr>
        <w:spacing w:after="0" w:line="20"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47" w:orient="portrait"/>
          <w:cols w:equalWidth="0" w:num="1">
            <w:col w:w="11220"/>
          </w:cols>
          <w:pgMar w:left="320" w:top="110" w:right="359" w:bottom="0" w:gutter="0" w:footer="0" w:header="0"/>
        </w:sectPr>
      </w:pPr>
    </w:p>
    <w:bookmarkStart w:id="7" w:name="page8"/>
    <w:bookmarkEnd w:id="7"/>
    <w:p>
      <w:pPr>
        <w:ind w:left="1160"/>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21"/>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12,437,521.00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12,437,521.00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12,437,521.00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-3496310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40.82 %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reported securities include 8,446,746 shares of Common Stock issuable upon conversion or redemption of the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0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shares of Preferred Stock (as defined below) directly held by OCM HLCN. All calculations of percentage ownership</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0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herein are based upon an aggregate of 22,018,849 shares of Common Stock outstanding as of May 8, 2026 as set forth</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in the Form 10-Q filed by the Issuer with the SEC on May 13, 2026, plus 8,446,746 shares of Common Stock issuable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upon conversion or redemption of shares of Preferred Stock beneficially owned by the Reporting Persons.</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Brookfield Corporation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24"/>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4" w:lineRule="exact"/>
        <w:rPr>
          <w:rFonts w:ascii="Times New Roman" w:cs="Times New Roman" w:eastAsia="Times New Roman" w:hAnsi="Times New Roman"/>
          <w:sz w:val="37"/>
          <w:szCs w:val="37"/>
          <w:color w:val="auto"/>
          <w:vertAlign w:val="subscript"/>
        </w:rPr>
      </w:pPr>
    </w:p>
    <w:p>
      <w:pPr>
        <w:ind w:left="1160"/>
        <w:spacing w:after="0"/>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20"/>
          </w:cols>
          <w:pgMar w:left="320" w:top="369" w:right="35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20"/>
          </w:cols>
          <w:pgMar w:left="320" w:top="369" w:right="359"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jc w:val="right"/>
        <w:ind w:right="6979"/>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BAM Partners Trust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20" w:hanging="1112"/>
        <w:spacing w:after="0" w:line="184" w:lineRule="auto"/>
        <w:tabs>
          <w:tab w:leader="none" w:pos="1120" w:val="left"/>
        </w:tabs>
        <w:numPr>
          <w:ilvl w:val="0"/>
          <w:numId w:val="27"/>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jc w:val="right"/>
        <w:ind w:right="1919"/>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ONTARIO, CANADA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6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 Shared Dispositive 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11" w:right="1440" w:bottom="0" w:gutter="0" w:footer="0" w:header="0"/>
          <w:type w:val="continuous"/>
        </w:sectPr>
      </w:pPr>
    </w:p>
    <w:bookmarkStart w:id="9" w:name="page10"/>
    <w:bookmarkEnd w:id="9"/>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Battalion Oil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820 Gessner Road, Suite 1100, Houston, TEXAS , 77024.</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following constitutes Amendment No. 6 ("Amendment No. 6") to the Schedule 13D filed by the undersigned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with the SEC October 22, 2019 (the "Original Schedule 13D"), as amended by Amendment No. 1 thereto, filed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the SEC on March 31, 2023, Amendment No. 2 thereto, filed with the SEC on September 8, 2023, Amendment No. 3 thereto, filed with the SEC on December 19, 2023, Amendment No. 4 thereto, filed with the SEC on March 29, 2024 and Amendment No. 5 thereto, filed with the SEC on May 15, 2024 (collectively, the "Schedule 13D"). Except as specifically provided herein, this Amendment No. 6 does not modify any of the information previously reported in the Schedule 13D. Capitalized terms used but not defined in this Amendment No. 6 shall maintain the meanings</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herein as are ascribed to such terms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60"/>
        <w:spacing w:after="0" w:line="247" w:lineRule="auto"/>
        <w:rPr>
          <w:sz w:val="20"/>
          <w:szCs w:val="20"/>
          <w:color w:val="auto"/>
        </w:rPr>
      </w:pPr>
      <w:r>
        <w:rPr>
          <w:rFonts w:ascii="Times New Roman" w:cs="Times New Roman" w:eastAsia="Times New Roman" w:hAnsi="Times New Roman"/>
          <w:sz w:val="21"/>
          <w:szCs w:val="21"/>
          <w:color w:val="auto"/>
        </w:rPr>
        <w:t>Item 2(e) is hereby amended and restated in its entirety as follows: On September 25, 2024, the SEC accepted an offer by Oaktree Capital Management L.P., an affiliate of the Reporting Persons, to resolve an investigation involving Sections 13(d) and 16(a) of the Securities Exchange Act of 1934 (the "Exchange Act") and Rules 13d-2 and 16a-3 thereunder, which require certain investors that beneficially own the registered equity securities of a public company</w:t>
      </w:r>
    </w:p>
    <w:p>
      <w:pPr>
        <w:spacing w:after="0" w:line="2" w:lineRule="exact"/>
        <w:rPr>
          <w:sz w:val="20"/>
          <w:szCs w:val="20"/>
          <w:color w:val="auto"/>
        </w:rPr>
      </w:pPr>
    </w:p>
    <w:p>
      <w:pPr>
        <w:ind w:left="920" w:right="140" w:hanging="912"/>
        <w:spacing w:after="0" w:line="233" w:lineRule="auto"/>
        <w:tabs>
          <w:tab w:leader="none" w:pos="9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reports with the SEC of their beneficial ownership in the equity of the company, including changes in their beneficial ownership, within specified timeframes. Oaktree Capital Management L.P. cooperated immediately and fully with the SEC's investigation, and, without admitting or denying the SEC's findings, in a settled proceeding agreed to cease and desist from committing or causing any violations and any future violations of Sections 13(d) and 16(a) of the Exchange Act and Rules 13d-2 and 16a-3 thereunder and to pay a $375,000 penalty.</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20"/>
        <w:spacing w:after="0" w:line="245" w:lineRule="auto"/>
        <w:rPr>
          <w:sz w:val="20"/>
          <w:szCs w:val="20"/>
          <w:color w:val="auto"/>
        </w:rPr>
      </w:pPr>
      <w:r>
        <w:rPr>
          <w:rFonts w:ascii="Times New Roman" w:cs="Times New Roman" w:eastAsia="Times New Roman" w:hAnsi="Times New Roman"/>
          <w:sz w:val="21"/>
          <w:szCs w:val="21"/>
          <w:color w:val="auto"/>
        </w:rPr>
        <w:t>Items 5(a)-(c) of Schedule 13D are hereby amended and restated as follows and set forth in subsections (b) and (c) hereof: The responses of the Reporting Persons to rows (11) and (13) on the cover pages of this Schedule 13D are incorporated by reference into this Item 5(a). OCM HLCN directly holds 3,988,089 shares of Common Stock and beneficially owns 8,446,746 shares of Common Stock issuable upon conversion of the Preferred Stock directly held by OCM HLCN. In this regard, the shares of the Series A Preferred Stock, Series A-1 Preferred Stock, Series A- 2 Preferred Stock, Series A-3 Preferred Stock, and Series A-4 Preferred Stock (collectively, the "Preferred Stock")</w:t>
      </w:r>
    </w:p>
    <w:p>
      <w:pPr>
        <w:spacing w:after="0" w:line="3" w:lineRule="exact"/>
        <w:rPr>
          <w:sz w:val="20"/>
          <w:szCs w:val="20"/>
          <w:color w:val="auto"/>
        </w:rPr>
      </w:pPr>
    </w:p>
    <w:p>
      <w:pPr>
        <w:ind w:left="920" w:right="220" w:hanging="912"/>
        <w:spacing w:after="0" w:line="232" w:lineRule="auto"/>
        <w:tabs>
          <w:tab w:leader="none" w:pos="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held by OCM HLCN are currently convertible, based on their respective Conversion Ratios previously disclosed in Item 6 of the Schedule 13D (as amended), into 1,180,359, 1,981,179, 2,622,685, 1,303,401 and 1,359,122 shares of Common Stock, respectively. The reported amount includes an additional 2,686 shares of Common Stock held in a separately managed account managed by an affiliate of the Reporting Persons. Each of the Reporting Persons may be deemed to share the power to vote or dispose of the reported securities, but the filing of this statement shall not be deemed an admission of beneficial ownership for purposes of Section 13(d) or Section 13(g) or for any other purpose.</w:t>
      </w:r>
    </w:p>
    <w:p>
      <w:pPr>
        <w:spacing w:after="0" w:line="19" w:lineRule="exact"/>
        <w:rPr>
          <w:rFonts w:ascii="Times New Roman" w:cs="Times New Roman" w:eastAsia="Times New Roman" w:hAnsi="Times New Roman"/>
          <w:sz w:val="22"/>
          <w:szCs w:val="22"/>
          <w:color w:val="auto"/>
        </w:rPr>
      </w:pPr>
    </w:p>
    <w:p>
      <w:pPr>
        <w:ind w:left="920" w:right="440" w:hanging="912"/>
        <w:spacing w:after="0" w:line="185" w:lineRule="auto"/>
        <w:tabs>
          <w:tab w:leader="none" w:pos="920" w:val="left"/>
        </w:tabs>
        <w:numPr>
          <w:ilvl w:val="0"/>
          <w:numId w:val="2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responses of the Reporting Persons to rows (7) through (10) on the cover pages of this Schedule 13D and the information set forth in Item 5(a) hereof are incorporated by reference into this Item 5(b).</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reflected herein, the Reporting Persons have not effected any transactions in the shares of Common Stock</w:t>
      </w:r>
    </w:p>
    <w:p>
      <w:pPr>
        <w:sectPr>
          <w:pgSz w:w="11900" w:h="16838" w:orient="portrait"/>
          <w:cols w:equalWidth="0" w:num="1">
            <w:col w:w="11160"/>
          </w:cols>
          <w:pgMar w:left="360" w:top="111" w:right="379" w:bottom="0" w:gutter="0" w:footer="0" w:header="0"/>
        </w:sectPr>
      </w:pPr>
    </w:p>
    <w:bookmarkStart w:id="10" w:name="page11"/>
    <w:bookmarkEnd w:id="10"/>
    <w:p>
      <w:pPr>
        <w:spacing w:after="0" w:line="4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2"/>
          <w:szCs w:val="22"/>
          <w:color w:val="auto"/>
        </w:rPr>
        <w:t>during the prior 60 days.</w:t>
      </w:r>
    </w:p>
    <w:p>
      <w:pPr>
        <w:spacing w:after="0" w:line="45"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2"/>
          <w:szCs w:val="22"/>
          <w:color w:val="auto"/>
        </w:rPr>
        <w:t>Item 5(e) of the Schedule 13D is hereby amended and restated as follows: Brookfield and BAM Partnership, which</w:t>
      </w:r>
    </w:p>
    <w:p>
      <w:pPr>
        <w:spacing w:after="0" w:line="14" w:lineRule="exact"/>
        <w:rPr>
          <w:sz w:val="20"/>
          <w:szCs w:val="20"/>
          <w:color w:val="auto"/>
        </w:rPr>
      </w:pPr>
    </w:p>
    <w:p>
      <w:pPr>
        <w:jc w:val="both"/>
        <w:ind w:left="912" w:right="40" w:hanging="912"/>
        <w:spacing w:after="0" w:line="184" w:lineRule="auto"/>
        <w:tabs>
          <w:tab w:leader="none" w:pos="912" w:val="left"/>
        </w:tabs>
        <w:numPr>
          <w:ilvl w:val="0"/>
          <w:numId w:val="3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previously reported together with OCM HLCN, GP, GP I, Capital I, Holdings II, Holdings, BOH and OCGH GP (the "Oaktree Parties") have been determined to no longer act together with the Oaktree Parties, and therefore have ceased to be the beneficial owner of more than five percent of the securities covered by this Schedule 13D.</w:t>
      </w:r>
    </w:p>
    <w:p>
      <w:pPr>
        <w:spacing w:after="0" w:line="288"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12"/>
        <w:spacing w:after="0"/>
        <w:rPr>
          <w:sz w:val="20"/>
          <w:szCs w:val="20"/>
          <w:color w:val="auto"/>
        </w:rPr>
      </w:pPr>
      <w:r>
        <w:rPr>
          <w:rFonts w:ascii="Times New Roman" w:cs="Times New Roman" w:eastAsia="Times New Roman" w:hAnsi="Times New Roman"/>
          <w:sz w:val="22"/>
          <w:szCs w:val="22"/>
          <w:color w:val="auto"/>
        </w:rPr>
        <w:t>OCM HLCN Holdings, L.P.</w:t>
      </w:r>
    </w:p>
    <w:p>
      <w:pPr>
        <w:spacing w:after="0" w:line="152" w:lineRule="exact"/>
        <w:rPr>
          <w:sz w:val="20"/>
          <w:szCs w:val="20"/>
          <w:color w:val="auto"/>
        </w:rPr>
      </w:pPr>
    </w:p>
    <w:p>
      <w:pPr>
        <w:ind w:left="4192"/>
        <w:spacing w:after="0"/>
        <w:tabs>
          <w:tab w:leader="none" w:pos="52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Henry Orren</w:t>
      </w:r>
    </w:p>
    <w:p>
      <w:pPr>
        <w:spacing w:after="0" w:line="44" w:lineRule="exact"/>
        <w:rPr>
          <w:sz w:val="20"/>
          <w:szCs w:val="20"/>
          <w:color w:val="auto"/>
        </w:rPr>
      </w:pPr>
    </w:p>
    <w:p>
      <w:pPr>
        <w:ind w:left="4192"/>
        <w:spacing w:after="0"/>
        <w:rPr>
          <w:sz w:val="20"/>
          <w:szCs w:val="20"/>
          <w:color w:val="auto"/>
        </w:rPr>
      </w:pPr>
      <w:r>
        <w:rPr>
          <w:rFonts w:ascii="Times New Roman" w:cs="Times New Roman" w:eastAsia="Times New Roman" w:hAnsi="Times New Roman"/>
          <w:sz w:val="22"/>
          <w:szCs w:val="22"/>
          <w:color w:val="auto"/>
        </w:rPr>
        <w:t>Name/Title: Henry Orren / Managing Director</w:t>
      </w:r>
    </w:p>
    <w:p>
      <w:pPr>
        <w:spacing w:after="0" w:line="44" w:lineRule="exact"/>
        <w:rPr>
          <w:sz w:val="20"/>
          <w:szCs w:val="20"/>
          <w:color w:val="auto"/>
        </w:rPr>
      </w:pPr>
    </w:p>
    <w:p>
      <w:pPr>
        <w:ind w:left="4192"/>
        <w:spacing w:after="0"/>
        <w:tabs>
          <w:tab w:leader="none" w:pos="52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192"/>
        <w:spacing w:after="0"/>
        <w:rPr>
          <w:sz w:val="20"/>
          <w:szCs w:val="20"/>
          <w:color w:val="auto"/>
        </w:rPr>
      </w:pPr>
      <w:r>
        <w:rPr>
          <w:rFonts w:ascii="Times New Roman" w:cs="Times New Roman" w:eastAsia="Times New Roman" w:hAnsi="Times New Roman"/>
          <w:sz w:val="22"/>
          <w:szCs w:val="22"/>
          <w:color w:val="auto"/>
        </w:rPr>
        <w:t>Oaktree Fund GP, LLC</w:t>
      </w:r>
    </w:p>
    <w:p>
      <w:pPr>
        <w:spacing w:after="0" w:line="152" w:lineRule="exact"/>
        <w:rPr>
          <w:sz w:val="20"/>
          <w:szCs w:val="20"/>
          <w:color w:val="auto"/>
        </w:rPr>
      </w:pPr>
    </w:p>
    <w:p>
      <w:pPr>
        <w:ind w:left="4192"/>
        <w:spacing w:after="0"/>
        <w:tabs>
          <w:tab w:leader="none" w:pos="52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Henry Orren</w:t>
      </w:r>
    </w:p>
    <w:p>
      <w:pPr>
        <w:spacing w:after="0" w:line="44" w:lineRule="exact"/>
        <w:rPr>
          <w:sz w:val="20"/>
          <w:szCs w:val="20"/>
          <w:color w:val="auto"/>
        </w:rPr>
      </w:pPr>
    </w:p>
    <w:p>
      <w:pPr>
        <w:ind w:left="4192"/>
        <w:spacing w:after="0"/>
        <w:rPr>
          <w:sz w:val="20"/>
          <w:szCs w:val="20"/>
          <w:color w:val="auto"/>
        </w:rPr>
      </w:pPr>
      <w:r>
        <w:rPr>
          <w:rFonts w:ascii="Times New Roman" w:cs="Times New Roman" w:eastAsia="Times New Roman" w:hAnsi="Times New Roman"/>
          <w:sz w:val="22"/>
          <w:szCs w:val="22"/>
          <w:color w:val="auto"/>
        </w:rPr>
        <w:t>Name/Title: Henry Orren / Managing Director</w:t>
      </w:r>
    </w:p>
    <w:p>
      <w:pPr>
        <w:spacing w:after="0" w:line="44" w:lineRule="exact"/>
        <w:rPr>
          <w:sz w:val="20"/>
          <w:szCs w:val="20"/>
          <w:color w:val="auto"/>
        </w:rPr>
      </w:pPr>
    </w:p>
    <w:p>
      <w:pPr>
        <w:ind w:left="4192"/>
        <w:spacing w:after="0"/>
        <w:tabs>
          <w:tab w:leader="none" w:pos="52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22"/>
          <w:szCs w:val="22"/>
          <w:color w:val="auto"/>
        </w:rPr>
        <w:t>Oaktree Fund GP I, L.P.</w:t>
      </w:r>
    </w:p>
    <w:p>
      <w:pPr>
        <w:spacing w:after="0" w:line="152" w:lineRule="exact"/>
        <w:rPr>
          <w:sz w:val="20"/>
          <w:szCs w:val="20"/>
          <w:color w:val="auto"/>
        </w:rPr>
      </w:pPr>
    </w:p>
    <w:p>
      <w:pPr>
        <w:ind w:left="4192"/>
        <w:spacing w:after="0"/>
        <w:tabs>
          <w:tab w:leader="none" w:pos="52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Henry Orren</w:t>
      </w:r>
    </w:p>
    <w:p>
      <w:pPr>
        <w:spacing w:after="0" w:line="44" w:lineRule="exact"/>
        <w:rPr>
          <w:sz w:val="20"/>
          <w:szCs w:val="20"/>
          <w:color w:val="auto"/>
        </w:rPr>
      </w:pPr>
    </w:p>
    <w:p>
      <w:pPr>
        <w:ind w:left="4192"/>
        <w:spacing w:after="0"/>
        <w:rPr>
          <w:sz w:val="20"/>
          <w:szCs w:val="20"/>
          <w:color w:val="auto"/>
        </w:rPr>
      </w:pPr>
      <w:r>
        <w:rPr>
          <w:rFonts w:ascii="Times New Roman" w:cs="Times New Roman" w:eastAsia="Times New Roman" w:hAnsi="Times New Roman"/>
          <w:sz w:val="22"/>
          <w:szCs w:val="22"/>
          <w:color w:val="auto"/>
        </w:rPr>
        <w:t>Name/Title: Henry Orren / Managing Director</w:t>
      </w:r>
    </w:p>
    <w:p>
      <w:pPr>
        <w:spacing w:after="0" w:line="44" w:lineRule="exact"/>
        <w:rPr>
          <w:sz w:val="20"/>
          <w:szCs w:val="20"/>
          <w:color w:val="auto"/>
        </w:rPr>
      </w:pPr>
    </w:p>
    <w:p>
      <w:pPr>
        <w:ind w:left="4192"/>
        <w:spacing w:after="0"/>
        <w:tabs>
          <w:tab w:leader="none" w:pos="52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112"/>
        <w:spacing w:after="0"/>
        <w:rPr>
          <w:sz w:val="20"/>
          <w:szCs w:val="20"/>
          <w:color w:val="auto"/>
        </w:rPr>
      </w:pPr>
      <w:r>
        <w:rPr>
          <w:rFonts w:ascii="Times New Roman" w:cs="Times New Roman" w:eastAsia="Times New Roman" w:hAnsi="Times New Roman"/>
          <w:sz w:val="22"/>
          <w:szCs w:val="22"/>
          <w:color w:val="auto"/>
        </w:rPr>
        <w:t>Oaktree Capital I, L.P.</w:t>
      </w:r>
    </w:p>
    <w:p>
      <w:pPr>
        <w:spacing w:after="0" w:line="152" w:lineRule="exact"/>
        <w:rPr>
          <w:sz w:val="20"/>
          <w:szCs w:val="20"/>
          <w:color w:val="auto"/>
        </w:rPr>
      </w:pPr>
    </w:p>
    <w:p>
      <w:pPr>
        <w:ind w:left="4192"/>
        <w:spacing w:after="0"/>
        <w:tabs>
          <w:tab w:leader="none" w:pos="52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Henry Orren</w:t>
      </w:r>
    </w:p>
    <w:p>
      <w:pPr>
        <w:spacing w:after="0" w:line="44" w:lineRule="exact"/>
        <w:rPr>
          <w:sz w:val="20"/>
          <w:szCs w:val="20"/>
          <w:color w:val="auto"/>
        </w:rPr>
      </w:pPr>
    </w:p>
    <w:p>
      <w:pPr>
        <w:ind w:left="4192"/>
        <w:spacing w:after="0"/>
        <w:rPr>
          <w:sz w:val="20"/>
          <w:szCs w:val="20"/>
          <w:color w:val="auto"/>
        </w:rPr>
      </w:pPr>
      <w:r>
        <w:rPr>
          <w:rFonts w:ascii="Times New Roman" w:cs="Times New Roman" w:eastAsia="Times New Roman" w:hAnsi="Times New Roman"/>
          <w:sz w:val="22"/>
          <w:szCs w:val="22"/>
          <w:color w:val="auto"/>
        </w:rPr>
        <w:t>Name/Title: Henry Orren / Managing Director</w:t>
      </w:r>
    </w:p>
    <w:p>
      <w:pPr>
        <w:spacing w:after="0" w:line="44" w:lineRule="exact"/>
        <w:rPr>
          <w:sz w:val="20"/>
          <w:szCs w:val="20"/>
          <w:color w:val="auto"/>
        </w:rPr>
      </w:pPr>
    </w:p>
    <w:p>
      <w:pPr>
        <w:ind w:left="4192"/>
        <w:spacing w:after="0"/>
        <w:tabs>
          <w:tab w:leader="none" w:pos="52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232"/>
        <w:spacing w:after="0"/>
        <w:rPr>
          <w:sz w:val="20"/>
          <w:szCs w:val="20"/>
          <w:color w:val="auto"/>
        </w:rPr>
      </w:pPr>
      <w:r>
        <w:rPr>
          <w:rFonts w:ascii="Times New Roman" w:cs="Times New Roman" w:eastAsia="Times New Roman" w:hAnsi="Times New Roman"/>
          <w:sz w:val="22"/>
          <w:szCs w:val="22"/>
          <w:color w:val="auto"/>
        </w:rPr>
        <w:t>Brookfield OCM Holdings II, LLC</w:t>
      </w:r>
    </w:p>
    <w:p>
      <w:pPr>
        <w:spacing w:after="0" w:line="152" w:lineRule="exact"/>
        <w:rPr>
          <w:sz w:val="20"/>
          <w:szCs w:val="20"/>
          <w:color w:val="auto"/>
        </w:rPr>
      </w:pPr>
    </w:p>
    <w:p>
      <w:pPr>
        <w:ind w:left="4192"/>
        <w:spacing w:after="0"/>
        <w:tabs>
          <w:tab w:leader="none" w:pos="52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Henry Orren</w:t>
      </w:r>
    </w:p>
    <w:p>
      <w:pPr>
        <w:spacing w:after="0" w:line="44" w:lineRule="exact"/>
        <w:rPr>
          <w:sz w:val="20"/>
          <w:szCs w:val="20"/>
          <w:color w:val="auto"/>
        </w:rPr>
      </w:pPr>
    </w:p>
    <w:p>
      <w:pPr>
        <w:ind w:left="4192"/>
        <w:spacing w:after="0"/>
        <w:rPr>
          <w:sz w:val="20"/>
          <w:szCs w:val="20"/>
          <w:color w:val="auto"/>
        </w:rPr>
      </w:pPr>
      <w:r>
        <w:rPr>
          <w:rFonts w:ascii="Times New Roman" w:cs="Times New Roman" w:eastAsia="Times New Roman" w:hAnsi="Times New Roman"/>
          <w:sz w:val="22"/>
          <w:szCs w:val="22"/>
          <w:color w:val="auto"/>
        </w:rPr>
        <w:t>Name/Title: Henry Orren / Managing Director</w:t>
      </w:r>
    </w:p>
    <w:p>
      <w:pPr>
        <w:spacing w:after="0" w:line="44" w:lineRule="exact"/>
        <w:rPr>
          <w:sz w:val="20"/>
          <w:szCs w:val="20"/>
          <w:color w:val="auto"/>
        </w:rPr>
      </w:pPr>
    </w:p>
    <w:p>
      <w:pPr>
        <w:ind w:left="4192"/>
        <w:spacing w:after="0"/>
        <w:tabs>
          <w:tab w:leader="none" w:pos="52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32"/>
        <w:spacing w:after="0"/>
        <w:rPr>
          <w:sz w:val="20"/>
          <w:szCs w:val="20"/>
          <w:color w:val="auto"/>
        </w:rPr>
      </w:pPr>
      <w:r>
        <w:rPr>
          <w:rFonts w:ascii="Times New Roman" w:cs="Times New Roman" w:eastAsia="Times New Roman" w:hAnsi="Times New Roman"/>
          <w:sz w:val="22"/>
          <w:szCs w:val="22"/>
          <w:color w:val="auto"/>
        </w:rPr>
        <w:t>Brookfield OCM Holdings, LLC</w:t>
      </w:r>
    </w:p>
    <w:p>
      <w:pPr>
        <w:spacing w:after="0" w:line="152" w:lineRule="exact"/>
        <w:rPr>
          <w:sz w:val="20"/>
          <w:szCs w:val="20"/>
          <w:color w:val="auto"/>
        </w:rPr>
      </w:pPr>
    </w:p>
    <w:p>
      <w:pPr>
        <w:ind w:left="4192"/>
        <w:spacing w:after="0"/>
        <w:tabs>
          <w:tab w:leader="none" w:pos="52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Henry Orren</w:t>
      </w:r>
    </w:p>
    <w:p>
      <w:pPr>
        <w:spacing w:after="0" w:line="44" w:lineRule="exact"/>
        <w:rPr>
          <w:sz w:val="20"/>
          <w:szCs w:val="20"/>
          <w:color w:val="auto"/>
        </w:rPr>
      </w:pPr>
    </w:p>
    <w:p>
      <w:pPr>
        <w:ind w:left="4192"/>
        <w:spacing w:after="0"/>
        <w:rPr>
          <w:sz w:val="20"/>
          <w:szCs w:val="20"/>
          <w:color w:val="auto"/>
        </w:rPr>
      </w:pPr>
      <w:r>
        <w:rPr>
          <w:rFonts w:ascii="Times New Roman" w:cs="Times New Roman" w:eastAsia="Times New Roman" w:hAnsi="Times New Roman"/>
          <w:sz w:val="22"/>
          <w:szCs w:val="22"/>
          <w:color w:val="auto"/>
        </w:rPr>
        <w:t>Name/Title: Henry Orren / Managing Director</w:t>
      </w:r>
    </w:p>
    <w:p>
      <w:pPr>
        <w:spacing w:after="0" w:line="44" w:lineRule="exact"/>
        <w:rPr>
          <w:sz w:val="20"/>
          <w:szCs w:val="20"/>
          <w:color w:val="auto"/>
        </w:rPr>
      </w:pPr>
    </w:p>
    <w:p>
      <w:pPr>
        <w:ind w:left="4192"/>
        <w:spacing w:after="0"/>
        <w:tabs>
          <w:tab w:leader="none" w:pos="52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212"/>
        <w:spacing w:after="0"/>
        <w:rPr>
          <w:sz w:val="20"/>
          <w:szCs w:val="20"/>
          <w:color w:val="auto"/>
        </w:rPr>
      </w:pPr>
      <w:r>
        <w:rPr>
          <w:rFonts w:ascii="Times New Roman" w:cs="Times New Roman" w:eastAsia="Times New Roman" w:hAnsi="Times New Roman"/>
          <w:sz w:val="22"/>
          <w:szCs w:val="22"/>
          <w:color w:val="auto"/>
        </w:rPr>
        <w:t>Brookfield Oaktree Holdings, LLC</w:t>
      </w:r>
    </w:p>
    <w:p>
      <w:pPr>
        <w:spacing w:after="0" w:line="152" w:lineRule="exact"/>
        <w:rPr>
          <w:sz w:val="20"/>
          <w:szCs w:val="20"/>
          <w:color w:val="auto"/>
        </w:rPr>
      </w:pPr>
    </w:p>
    <w:p>
      <w:pPr>
        <w:ind w:left="4192"/>
        <w:spacing w:after="0"/>
        <w:tabs>
          <w:tab w:leader="none" w:pos="52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Henry Orren</w:t>
      </w:r>
    </w:p>
    <w:p>
      <w:pPr>
        <w:spacing w:after="0" w:line="44" w:lineRule="exact"/>
        <w:rPr>
          <w:sz w:val="20"/>
          <w:szCs w:val="20"/>
          <w:color w:val="auto"/>
        </w:rPr>
      </w:pPr>
    </w:p>
    <w:p>
      <w:pPr>
        <w:ind w:left="4192"/>
        <w:spacing w:after="0"/>
        <w:rPr>
          <w:sz w:val="20"/>
          <w:szCs w:val="20"/>
          <w:color w:val="auto"/>
        </w:rPr>
      </w:pPr>
      <w:r>
        <w:rPr>
          <w:rFonts w:ascii="Times New Roman" w:cs="Times New Roman" w:eastAsia="Times New Roman" w:hAnsi="Times New Roman"/>
          <w:sz w:val="22"/>
          <w:szCs w:val="22"/>
          <w:color w:val="auto"/>
        </w:rPr>
        <w:t>Name/Title: Henry Orren / Managing Director</w:t>
      </w:r>
    </w:p>
    <w:p>
      <w:pPr>
        <w:spacing w:after="0" w:line="44" w:lineRule="exact"/>
        <w:rPr>
          <w:sz w:val="20"/>
          <w:szCs w:val="20"/>
          <w:color w:val="auto"/>
        </w:rPr>
      </w:pPr>
    </w:p>
    <w:p>
      <w:pPr>
        <w:ind w:left="4192"/>
        <w:spacing w:after="0"/>
        <w:tabs>
          <w:tab w:leader="none" w:pos="52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812"/>
        <w:spacing w:after="0"/>
        <w:rPr>
          <w:sz w:val="20"/>
          <w:szCs w:val="20"/>
          <w:color w:val="auto"/>
        </w:rPr>
      </w:pPr>
      <w:r>
        <w:rPr>
          <w:rFonts w:ascii="Times New Roman" w:cs="Times New Roman" w:eastAsia="Times New Roman" w:hAnsi="Times New Roman"/>
          <w:sz w:val="22"/>
          <w:szCs w:val="22"/>
          <w:color w:val="auto"/>
        </w:rPr>
        <w:t>Oaktree Capital Group Holdings GP, LLC</w:t>
      </w:r>
    </w:p>
    <w:p>
      <w:pPr>
        <w:spacing w:after="0" w:line="152" w:lineRule="exact"/>
        <w:rPr>
          <w:sz w:val="20"/>
          <w:szCs w:val="20"/>
          <w:color w:val="auto"/>
        </w:rPr>
      </w:pPr>
    </w:p>
    <w:p>
      <w:pPr>
        <w:ind w:left="4192"/>
        <w:spacing w:after="0"/>
        <w:tabs>
          <w:tab w:leader="none" w:pos="52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Henry Orren</w:t>
      </w:r>
    </w:p>
    <w:p>
      <w:pPr>
        <w:spacing w:after="0" w:line="44" w:lineRule="exact"/>
        <w:rPr>
          <w:sz w:val="20"/>
          <w:szCs w:val="20"/>
          <w:color w:val="auto"/>
        </w:rPr>
      </w:pPr>
    </w:p>
    <w:p>
      <w:pPr>
        <w:ind w:left="4192"/>
        <w:spacing w:after="0"/>
        <w:rPr>
          <w:sz w:val="20"/>
          <w:szCs w:val="20"/>
          <w:color w:val="auto"/>
        </w:rPr>
      </w:pPr>
      <w:r>
        <w:rPr>
          <w:rFonts w:ascii="Times New Roman" w:cs="Times New Roman" w:eastAsia="Times New Roman" w:hAnsi="Times New Roman"/>
          <w:sz w:val="22"/>
          <w:szCs w:val="22"/>
          <w:color w:val="auto"/>
        </w:rPr>
        <w:t>Name/Title: Henry Orren / Managing Director</w:t>
      </w:r>
    </w:p>
    <w:p>
      <w:pPr>
        <w:spacing w:after="0" w:line="44" w:lineRule="exact"/>
        <w:rPr>
          <w:sz w:val="20"/>
          <w:szCs w:val="20"/>
          <w:color w:val="auto"/>
        </w:rPr>
      </w:pPr>
    </w:p>
    <w:p>
      <w:pPr>
        <w:ind w:left="4192"/>
        <w:spacing w:after="0"/>
        <w:tabs>
          <w:tab w:leader="none" w:pos="52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212"/>
        <w:spacing w:after="0"/>
        <w:rPr>
          <w:sz w:val="20"/>
          <w:szCs w:val="20"/>
          <w:color w:val="auto"/>
        </w:rPr>
      </w:pPr>
      <w:r>
        <w:rPr>
          <w:rFonts w:ascii="Times New Roman" w:cs="Times New Roman" w:eastAsia="Times New Roman" w:hAnsi="Times New Roman"/>
          <w:sz w:val="22"/>
          <w:szCs w:val="22"/>
          <w:color w:val="auto"/>
        </w:rPr>
        <w:t>Brookfield Corporation</w:t>
      </w:r>
    </w:p>
    <w:p>
      <w:pPr>
        <w:spacing w:after="0" w:line="152"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Swati Mandava</w:t>
      </w:r>
    </w:p>
    <w:p>
      <w:pPr>
        <w:ind w:left="5652"/>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Swati Mandava / Managing Director, Legal &amp;</w:t>
      </w:r>
    </w:p>
    <w:p>
      <w:pPr>
        <w:spacing w:after="0" w:line="1"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Regulatory</w:t>
      </w:r>
    </w:p>
    <w:p>
      <w:pPr>
        <w:spacing w:after="0" w:line="20"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22"/>
          <w:szCs w:val="22"/>
          <w:color w:val="auto"/>
        </w:rPr>
        <w:t>BAM Partners Trust</w:t>
      </w:r>
    </w:p>
    <w:p>
      <w:pPr>
        <w:spacing w:after="0" w:line="152" w:lineRule="exact"/>
        <w:rPr>
          <w:sz w:val="20"/>
          <w:szCs w:val="20"/>
          <w:color w:val="auto"/>
        </w:rPr>
      </w:pPr>
    </w:p>
    <w:p>
      <w:pPr>
        <w:ind w:left="3532"/>
        <w:spacing w:after="0"/>
        <w:tabs>
          <w:tab w:leader="none" w:pos="459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Kathy Sarpash</w:t>
      </w:r>
    </w:p>
    <w:p>
      <w:pPr>
        <w:spacing w:after="0" w:line="44" w:lineRule="exact"/>
        <w:rPr>
          <w:sz w:val="20"/>
          <w:szCs w:val="20"/>
          <w:color w:val="auto"/>
        </w:rPr>
      </w:pPr>
    </w:p>
    <w:p>
      <w:pPr>
        <w:ind w:left="3532"/>
        <w:spacing w:after="0"/>
        <w:rPr>
          <w:sz w:val="20"/>
          <w:szCs w:val="20"/>
          <w:color w:val="auto"/>
        </w:rPr>
      </w:pPr>
      <w:r>
        <w:rPr>
          <w:rFonts w:ascii="Times New Roman" w:cs="Times New Roman" w:eastAsia="Times New Roman" w:hAnsi="Times New Roman"/>
          <w:sz w:val="22"/>
          <w:szCs w:val="22"/>
          <w:color w:val="auto"/>
        </w:rPr>
        <w:t>Name/Title: Kathy Sarpash / Secretary</w:t>
      </w:r>
    </w:p>
    <w:p>
      <w:pPr>
        <w:sectPr>
          <w:pgSz w:w="11900" w:h="16887" w:orient="portrait"/>
          <w:cols w:equalWidth="0" w:num="1">
            <w:col w:w="11132"/>
          </w:cols>
          <w:pgMar w:left="368" w:top="112" w:right="399" w:bottom="0" w:gutter="0" w:footer="0" w:header="0"/>
        </w:sectPr>
      </w:pPr>
    </w:p>
    <w:bookmarkStart w:id="11" w:name="page12"/>
    <w:bookmarkEnd w:id="11"/>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1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Comments</w:t>
      </w:r>
      <w:r>
        <w:rPr>
          <w:sz w:val="20"/>
          <w:szCs w:val="20"/>
          <w:color w:val="auto"/>
        </w:rPr>
        <w:tab/>
      </w:r>
      <w:r>
        <w:rPr>
          <w:rFonts w:ascii="Times New Roman" w:cs="Times New Roman" w:eastAsia="Times New Roman" w:hAnsi="Times New Roman"/>
          <w:sz w:val="21"/>
          <w:szCs w:val="21"/>
          <w:color w:val="auto"/>
        </w:rPr>
        <w:t>OCM HLCN HOLDINGS, L.P., By: Oaktree Fund GP, LLC Its: General Partner, By: Oaktree Fund GP I, L.P. Its: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accompanying </w:t>
      </w:r>
      <w:r>
        <w:rPr>
          <w:rFonts w:ascii="Times New Roman" w:cs="Times New Roman" w:eastAsia="Times New Roman" w:hAnsi="Times New Roman"/>
          <w:sz w:val="21"/>
          <w:szCs w:val="21"/>
          <w:color w:val="auto"/>
        </w:rPr>
        <w:t>Managing Member. OAKTREE FUND GP, LLC, By: Oaktree Fund GP I, L.P. Its: Managing Member. BAM</w:t>
      </w:r>
    </w:p>
    <w:p>
      <w:pPr>
        <w:spacing w:after="0" w:line="182" w:lineRule="auto"/>
        <w:tabs>
          <w:tab w:leader="none" w:pos="1260" w:val="left"/>
        </w:tabs>
        <w:rPr>
          <w:sz w:val="20"/>
          <w:szCs w:val="20"/>
          <w:color w:val="auto"/>
        </w:rPr>
      </w:pPr>
      <w:r>
        <w:rPr>
          <w:rFonts w:ascii="Times New Roman" w:cs="Times New Roman" w:eastAsia="Times New Roman" w:hAnsi="Times New Roman"/>
          <w:sz w:val="32"/>
          <w:szCs w:val="32"/>
          <w:b w:val="1"/>
          <w:bCs w:val="1"/>
          <w:color w:val="auto"/>
          <w:vertAlign w:val="superscript"/>
        </w:rPr>
        <w:t>signature:</w:t>
      </w:r>
      <w:r>
        <w:rPr>
          <w:sz w:val="20"/>
          <w:szCs w:val="20"/>
          <w:color w:val="auto"/>
        </w:rPr>
        <w:tab/>
      </w:r>
      <w:r>
        <w:rPr>
          <w:rFonts w:ascii="Times New Roman" w:cs="Times New Roman" w:eastAsia="Times New Roman" w:hAnsi="Times New Roman"/>
          <w:sz w:val="19"/>
          <w:szCs w:val="19"/>
          <w:color w:val="auto"/>
        </w:rPr>
        <w:t>PARTNERS TRUST, by its trustee, BAM Class B Partners, Inc.</w:t>
      </w:r>
    </w:p>
    <w:sectPr>
      <w:pgSz w:w="11900" w:h="16838" w:orient="portrait"/>
      <w:cols w:equalWidth="0" w:num="1">
        <w:col w:w="11160"/>
      </w:cols>
      <w:pgMar w:left="360" w:top="15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2"/>
      <w:numFmt w:val="bullet"/>
      <w:start w:val="1"/>
    </w:lvl>
  </w:abstractNum>
  <w:abstractNum w:abstractNumId="1">
    <w:nsid w:val="6B68079A"/>
    <w:multiLevelType w:val="hybridMultilevel"/>
    <w:lvl w:ilvl="0">
      <w:lvlJc w:val="left"/>
      <w:lvlText w:val="3"/>
      <w:numFmt w:val="bullet"/>
      <w:start w:val="1"/>
    </w:lvl>
  </w:abstractNum>
  <w:abstractNum w:abstractNumId="2">
    <w:nsid w:val="4E6AFB66"/>
    <w:multiLevelType w:val="hybridMultilevel"/>
    <w:lvl w:ilvl="0">
      <w:lvlJc w:val="left"/>
      <w:lvlText w:val="4"/>
      <w:numFmt w:val="bullet"/>
      <w:start w:val="1"/>
    </w:lvl>
  </w:abstractNum>
  <w:abstractNum w:abstractNumId="3">
    <w:nsid w:val="25E45D32"/>
    <w:multiLevelType w:val="hybridMultilevel"/>
    <w:lvl w:ilvl="0">
      <w:lvlJc w:val="left"/>
      <w:lvlText w:val="2"/>
      <w:numFmt w:val="bullet"/>
      <w:start w:val="1"/>
    </w:lvl>
  </w:abstractNum>
  <w:abstractNum w:abstractNumId="4">
    <w:nsid w:val="519B500D"/>
    <w:multiLevelType w:val="hybridMultilevel"/>
    <w:lvl w:ilvl="0">
      <w:lvlJc w:val="left"/>
      <w:lvlText w:val="3"/>
      <w:numFmt w:val="bullet"/>
      <w:start w:val="1"/>
    </w:lvl>
  </w:abstractNum>
  <w:abstractNum w:abstractNumId="5">
    <w:nsid w:val="431BD7B7"/>
    <w:multiLevelType w:val="hybridMultilevel"/>
    <w:lvl w:ilvl="0">
      <w:lvlJc w:val="left"/>
      <w:lvlText w:val="4"/>
      <w:numFmt w:val="bullet"/>
      <w:start w:val="1"/>
    </w:lvl>
  </w:abstractNum>
  <w:abstractNum w:abstractNumId="6">
    <w:nsid w:val="3F2DBA31"/>
    <w:multiLevelType w:val="hybridMultilevel"/>
    <w:lvl w:ilvl="0">
      <w:lvlJc w:val="left"/>
      <w:lvlText w:val="6"/>
      <w:numFmt w:val="bullet"/>
      <w:start w:val="1"/>
    </w:lvl>
  </w:abstractNum>
  <w:abstractNum w:abstractNumId="7">
    <w:nsid w:val="7C83E458"/>
    <w:multiLevelType w:val="hybridMultilevel"/>
    <w:lvl w:ilvl="0">
      <w:lvlJc w:val="left"/>
      <w:lvlText w:val="2"/>
      <w:numFmt w:val="bullet"/>
      <w:start w:val="1"/>
    </w:lvl>
  </w:abstractNum>
  <w:abstractNum w:abstractNumId="8">
    <w:nsid w:val="257130A3"/>
    <w:multiLevelType w:val="hybridMultilevel"/>
    <w:lvl w:ilvl="0">
      <w:lvlJc w:val="left"/>
      <w:lvlText w:val="3"/>
      <w:numFmt w:val="bullet"/>
      <w:start w:val="1"/>
    </w:lvl>
  </w:abstractNum>
  <w:abstractNum w:abstractNumId="9">
    <w:nsid w:val="62BBD95A"/>
    <w:multiLevelType w:val="hybridMultilevel"/>
    <w:lvl w:ilvl="0">
      <w:lvlJc w:val="left"/>
      <w:lvlText w:val="4"/>
      <w:numFmt w:val="bullet"/>
      <w:start w:val="1"/>
    </w:lvl>
  </w:abstractNum>
  <w:abstractNum w:abstractNumId="10">
    <w:nsid w:val="436C6125"/>
    <w:multiLevelType w:val="hybridMultilevel"/>
    <w:lvl w:ilvl="0">
      <w:lvlJc w:val="left"/>
      <w:lvlText w:val="2"/>
      <w:numFmt w:val="bullet"/>
      <w:start w:val="1"/>
    </w:lvl>
  </w:abstractNum>
  <w:abstractNum w:abstractNumId="11">
    <w:nsid w:val="628C895D"/>
    <w:multiLevelType w:val="hybridMultilevel"/>
    <w:lvl w:ilvl="0">
      <w:lvlJc w:val="left"/>
      <w:lvlText w:val="2"/>
      <w:numFmt w:val="bullet"/>
      <w:start w:val="1"/>
    </w:lvl>
  </w:abstractNum>
  <w:abstractNum w:abstractNumId="12">
    <w:nsid w:val="333AB105"/>
    <w:multiLevelType w:val="hybridMultilevel"/>
    <w:lvl w:ilvl="0">
      <w:lvlJc w:val="left"/>
      <w:lvlText w:val="2"/>
      <w:numFmt w:val="bullet"/>
      <w:start w:val="1"/>
    </w:lvl>
  </w:abstractNum>
  <w:abstractNum w:abstractNumId="13">
    <w:nsid w:val="721DA317"/>
    <w:multiLevelType w:val="hybridMultilevel"/>
    <w:lvl w:ilvl="0">
      <w:lvlJc w:val="left"/>
      <w:lvlText w:val="3"/>
      <w:numFmt w:val="bullet"/>
      <w:start w:val="1"/>
    </w:lvl>
  </w:abstractNum>
  <w:abstractNum w:abstractNumId="14">
    <w:nsid w:val="2443A858"/>
    <w:multiLevelType w:val="hybridMultilevel"/>
    <w:lvl w:ilvl="0">
      <w:lvlJc w:val="left"/>
      <w:lvlText w:val="4"/>
      <w:numFmt w:val="bullet"/>
      <w:start w:val="1"/>
    </w:lvl>
  </w:abstractNum>
  <w:abstractNum w:abstractNumId="15">
    <w:nsid w:val="2D1D5AE9"/>
    <w:multiLevelType w:val="hybridMultilevel"/>
    <w:lvl w:ilvl="0">
      <w:lvlJc w:val="left"/>
      <w:lvlText w:val="2"/>
      <w:numFmt w:val="bullet"/>
      <w:start w:val="1"/>
    </w:lvl>
  </w:abstractNum>
  <w:abstractNum w:abstractNumId="16">
    <w:nsid w:val="6763845E"/>
    <w:multiLevelType w:val="hybridMultilevel"/>
    <w:lvl w:ilvl="0">
      <w:lvlJc w:val="left"/>
      <w:lvlText w:val="3"/>
      <w:numFmt w:val="bullet"/>
      <w:start w:val="1"/>
    </w:lvl>
  </w:abstractNum>
  <w:abstractNum w:abstractNumId="17">
    <w:nsid w:val="75A2A8D4"/>
    <w:multiLevelType w:val="hybridMultilevel"/>
    <w:lvl w:ilvl="0">
      <w:lvlJc w:val="left"/>
      <w:lvlText w:val="4"/>
      <w:numFmt w:val="bullet"/>
      <w:start w:val="1"/>
    </w:lvl>
  </w:abstractNum>
  <w:abstractNum w:abstractNumId="18">
    <w:nsid w:val="8EDBDAB"/>
    <w:multiLevelType w:val="hybridMultilevel"/>
    <w:lvl w:ilvl="0">
      <w:lvlJc w:val="left"/>
      <w:lvlText w:val="2"/>
      <w:numFmt w:val="bullet"/>
      <w:start w:val="1"/>
    </w:lvl>
  </w:abstractNum>
  <w:abstractNum w:abstractNumId="19">
    <w:nsid w:val="79838CB2"/>
    <w:multiLevelType w:val="hybridMultilevel"/>
    <w:lvl w:ilvl="0">
      <w:lvlJc w:val="left"/>
      <w:lvlText w:val="3"/>
      <w:numFmt w:val="bullet"/>
      <w:start w:val="1"/>
    </w:lvl>
  </w:abstractNum>
  <w:abstractNum w:abstractNumId="20">
    <w:nsid w:val="4353D0CD"/>
    <w:multiLevelType w:val="hybridMultilevel"/>
    <w:lvl w:ilvl="0">
      <w:lvlJc w:val="left"/>
      <w:lvlText w:val="4"/>
      <w:numFmt w:val="bullet"/>
      <w:start w:val="1"/>
    </w:lvl>
  </w:abstractNum>
  <w:abstractNum w:abstractNumId="21">
    <w:nsid w:val="B03E0C6"/>
    <w:multiLevelType w:val="hybridMultilevel"/>
    <w:lvl w:ilvl="0">
      <w:lvlJc w:val="left"/>
      <w:lvlText w:val="2"/>
      <w:numFmt w:val="bullet"/>
      <w:start w:val="1"/>
    </w:lvl>
  </w:abstractNum>
  <w:abstractNum w:abstractNumId="22">
    <w:nsid w:val="189A769B"/>
    <w:multiLevelType w:val="hybridMultilevel"/>
    <w:lvl w:ilvl="0">
      <w:lvlJc w:val="left"/>
      <w:lvlText w:val="3"/>
      <w:numFmt w:val="bullet"/>
      <w:start w:val="1"/>
    </w:lvl>
  </w:abstractNum>
  <w:abstractNum w:abstractNumId="23">
    <w:nsid w:val="54E49EB4"/>
    <w:multiLevelType w:val="hybridMultilevel"/>
    <w:lvl w:ilvl="0">
      <w:lvlJc w:val="left"/>
      <w:lvlText w:val="4"/>
      <w:numFmt w:val="bullet"/>
      <w:start w:val="1"/>
    </w:lvl>
  </w:abstractNum>
  <w:abstractNum w:abstractNumId="24">
    <w:nsid w:val="71F32454"/>
    <w:multiLevelType w:val="hybridMultilevel"/>
    <w:lvl w:ilvl="0">
      <w:lvlJc w:val="left"/>
      <w:lvlText w:val="2"/>
      <w:numFmt w:val="bullet"/>
      <w:start w:val="1"/>
    </w:lvl>
  </w:abstractNum>
  <w:abstractNum w:abstractNumId="25">
    <w:nsid w:val="2CA88611"/>
    <w:multiLevelType w:val="hybridMultilevel"/>
    <w:lvl w:ilvl="0">
      <w:lvlJc w:val="left"/>
      <w:lvlText w:val="3"/>
      <w:numFmt w:val="bullet"/>
      <w:start w:val="1"/>
    </w:lvl>
  </w:abstractNum>
  <w:abstractNum w:abstractNumId="26">
    <w:nsid w:val="836C40E"/>
    <w:multiLevelType w:val="hybridMultilevel"/>
    <w:lvl w:ilvl="0">
      <w:lvlJc w:val="left"/>
      <w:lvlText w:val="4"/>
      <w:numFmt w:val="bullet"/>
      <w:start w:val="1"/>
    </w:lvl>
  </w:abstractNum>
  <w:abstractNum w:abstractNumId="27">
    <w:nsid w:val="2901D82"/>
    <w:multiLevelType w:val="hybridMultilevel"/>
    <w:lvl w:ilvl="0">
      <w:lvlJc w:val="left"/>
      <w:lvlText w:val="(%1)"/>
      <w:numFmt w:val="lowerLetter"/>
      <w:start w:val="5"/>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2026-05-15T15:39:39Z</dcterms:created>
  <dcterms:modified xsi:type="dcterms:W3CDTF">2026-05-15T15:39:39Z</dcterms:modified>
</cp:coreProperties>
</file>